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Deepika Rao</w:t>
      </w:r>
    </w:p>
    <w:p>
      <w:pPr>
        <w:pStyle w:val="Role"/>
        <w:tabs>
          <w:tab w:pos="9638" w:val="right"/>
        </w:tabs>
      </w:pPr>
      <w:r>
        <w:t>Vice President, People &amp; Culture</w:t>
      </w:r>
      <w:r>
        <w:tab/>
      </w:r>
      <w:r>
        <w:rPr>
          <w:i w:val="0"/>
          <w:color w:val="555555"/>
          <w:sz w:val="17"/>
          <w:szCs w:val="18"/>
        </w:rPr>
        <w:t>deepika.rao@email.com</w:t>
      </w:r>
    </w:p>
    <w:p>
      <w:pPr>
        <w:pStyle w:val="Contact"/>
        <w:pBdr>
          <w:bottom w:val="single" w:sz="12" w:space="6" w:color="155E75"/>
        </w:pBdr>
        <w:tabs>
          <w:tab w:pos="9638" w:val="right"/>
        </w:tabs>
      </w:pPr>
      <w:r>
        <w:t>Hyderabad, India</w:t>
      </w:r>
      <w:r>
        <w:tab/>
      </w:r>
      <w:r>
        <w:t>+91 99490 37164   ·   linkedin.com/in/deepikarao</w:t>
      </w:r>
    </w:p>
    <w:p>
      <w:pPr>
        <w:pStyle w:val="SectionHeading"/>
        <w:pBdr>
          <w:bottom w:val="double" w:sz="6" w:space="2" w:color="155E75"/>
        </w:pBdr>
      </w:pPr>
      <w:r>
        <w:t>Profile</w:t>
      </w:r>
    </w:p>
    <w:p>
      <w:pPr>
        <w:pStyle w:val="Summary"/>
      </w:pPr>
      <w:r>
        <w:t>HR leader with 14 years across IT services and product companies. Scaled hiring from 300 to 4,000 people, rebuilt performance management and cut regretted attrition by a third.</w:t>
      </w:r>
    </w:p>
    <w:p>
      <w:pPr>
        <w:pStyle w:val="SectionHeading"/>
        <w:pBdr>
          <w:bottom w:val="double" w:sz="6" w:space="2" w:color="155E75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HR: </w:t>
      </w:r>
      <w:r>
        <w:t>Talent acquisition, performance and rewards, org design, employee relations, DEI</w:t>
      </w:r>
    </w:p>
    <w:p>
      <w:pPr>
        <w:pStyle w:val="BodyText"/>
      </w:pPr>
      <w:r>
        <w:rPr>
          <w:b/>
          <w:bCs/>
        </w:rPr>
        <w:t xml:space="preserve">Tools: </w:t>
      </w:r>
      <w:r>
        <w:t>Workday, SuccessFactors, people analytics in Power BI</w:t>
      </w:r>
    </w:p>
    <w:p>
      <w:pPr>
        <w:pStyle w:val="BodyText"/>
      </w:pPr>
      <w:r>
        <w:rPr>
          <w:b/>
          <w:bCs/>
        </w:rPr>
        <w:t xml:space="preserve">Languages: </w:t>
      </w:r>
      <w:r>
        <w:t>Telugu (native), English, Hindi, Kannada</w:t>
      </w:r>
    </w:p>
    <w:p>
      <w:pPr>
        <w:pStyle w:val="SectionHeading"/>
        <w:pBdr>
          <w:bottom w:val="double" w:sz="6" w:space="2" w:color="155E75"/>
        </w:pBdr>
      </w:pPr>
      <w:r>
        <w:t>Professional Experience</w:t>
      </w:r>
    </w:p>
    <w:p>
      <w:pPr>
        <w:pStyle w:val="EntryTitle"/>
        <w:tabs>
          <w:tab w:pos="9638" w:val="right"/>
        </w:tabs>
      </w:pPr>
      <w:r>
        <w:t>Vice President, People &amp; Culture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Nimbus Software</w:t>
      </w:r>
    </w:p>
    <w:p>
      <w:pPr>
        <w:pStyle w:val="ResumeBullet"/>
      </w:pPr>
      <w:r>
        <w:t>Lead a 60-member HR team for 4,000 employees in 5 countries.</w:t>
      </w:r>
    </w:p>
    <w:p>
      <w:pPr>
        <w:pStyle w:val="ResumeBullet"/>
      </w:pPr>
      <w:r>
        <w:t>Cut regretted attrition from 18% to 12% with career frameworks and manager training (sample data).</w:t>
      </w:r>
    </w:p>
    <w:p>
      <w:pPr>
        <w:pStyle w:val="ResumeBullet"/>
      </w:pPr>
      <w:r>
        <w:t>Rolled out a hybrid-work policy and a new HR system in 6 months.</w:t>
      </w:r>
    </w:p>
    <w:p>
      <w:pPr>
        <w:pStyle w:val="EntryTitle"/>
        <w:tabs>
          <w:tab w:pos="9638" w:val="right"/>
        </w:tabs>
      </w:pPr>
      <w:r>
        <w:t>Senior HR Business Partner</w:t>
      </w:r>
      <w:r>
        <w:tab/>
      </w:r>
      <w:r>
        <w:rPr>
          <w:b w:val="0"/>
          <w:i w:val="0"/>
          <w:color w:val="555555"/>
        </w:rPr>
        <w:t>2015 – 2020</w:t>
      </w:r>
    </w:p>
    <w:p>
      <w:pPr>
        <w:pStyle w:val="EntryMeta"/>
      </w:pPr>
      <w:r>
        <w:t>Tidewater Cloud</w:t>
      </w:r>
    </w:p>
    <w:p>
      <w:pPr>
        <w:pStyle w:val="ResumeBullet"/>
      </w:pPr>
      <w:r>
        <w:t>Partnered with engineering leaders for a 1,500-person division.</w:t>
      </w:r>
    </w:p>
    <w:p>
      <w:pPr>
        <w:pStyle w:val="EntryTitle"/>
        <w:tabs>
          <w:tab w:pos="9638" w:val="right"/>
        </w:tabs>
      </w:pPr>
      <w:r>
        <w:t>HR Generalist</w:t>
      </w:r>
      <w:r>
        <w:tab/>
      </w:r>
      <w:r>
        <w:rPr>
          <w:b w:val="0"/>
          <w:i w:val="0"/>
          <w:color w:val="555555"/>
        </w:rPr>
        <w:t>2011 – 2015</w:t>
      </w:r>
    </w:p>
    <w:p>
      <w:pPr>
        <w:pStyle w:val="EntryMeta"/>
      </w:pPr>
      <w:r>
        <w:t>Bluepeak Systems</w:t>
      </w:r>
    </w:p>
    <w:p>
      <w:pPr>
        <w:pStyle w:val="ResumeBullet"/>
      </w:pPr>
      <w:r>
        <w:t>Campus hiring, onboarding and employee relations.</w:t>
      </w:r>
    </w:p>
    <w:p>
      <w:pPr>
        <w:pStyle w:val="SectionHeading"/>
        <w:pBdr>
          <w:bottom w:val="double" w:sz="6" w:space="2" w:color="155E75"/>
        </w:pBdr>
      </w:pPr>
      <w:r>
        <w:t>Selected Projects</w:t>
      </w:r>
    </w:p>
    <w:p>
      <w:pPr>
        <w:pStyle w:val="EntryTitle"/>
        <w:tabs>
          <w:tab w:pos="9638" w:val="right"/>
        </w:tabs>
      </w:pPr>
      <w:r>
        <w:t>Career architecture for engineering</w:t>
      </w:r>
      <w:r>
        <w:tab/>
      </w:r>
      <w:r>
        <w:rPr>
          <w:b w:val="0"/>
          <w:i w:val="0"/>
          <w:color w:val="555555"/>
        </w:rPr>
        <w:t>2022</w:t>
      </w:r>
    </w:p>
    <w:p>
      <w:pPr>
        <w:pStyle w:val="EntryMeta"/>
      </w:pPr>
      <w:r>
        <w:t>Nimbus Software</w:t>
      </w:r>
    </w:p>
    <w:p>
      <w:pPr>
        <w:pStyle w:val="ResumeBullet"/>
      </w:pPr>
      <w:r>
        <w:t>Six-level career framework with skills rubrics for 2,600 engineers; promotion disputes fell sharply.</w:t>
      </w:r>
    </w:p>
    <w:p>
      <w:pPr>
        <w:pStyle w:val="EntryTitle"/>
        <w:tabs>
          <w:tab w:pos="9638" w:val="right"/>
        </w:tabs>
      </w:pPr>
      <w:r>
        <w:t>Hybrid-work playbook</w:t>
      </w:r>
      <w:r>
        <w:tab/>
      </w:r>
      <w:r>
        <w:rPr>
          <w:b w:val="0"/>
          <w:i w:val="0"/>
          <w:color w:val="555555"/>
        </w:rPr>
        <w:t>2021</w:t>
      </w:r>
    </w:p>
    <w:p>
      <w:pPr>
        <w:pStyle w:val="EntryMeta"/>
      </w:pPr>
      <w:r>
        <w:t>Nimbus Software</w:t>
      </w:r>
    </w:p>
    <w:p>
      <w:pPr>
        <w:pStyle w:val="ResumeBullet"/>
      </w:pPr>
      <w:r>
        <w:t>Policy, manager toolkit and office redesign across 5 locations; 89% employee approval in survey (sample data).</w:t>
      </w:r>
    </w:p>
    <w:p>
      <w:pPr>
        <w:pStyle w:val="EntryTitle"/>
        <w:tabs>
          <w:tab w:pos="9638" w:val="right"/>
        </w:tabs>
      </w:pPr>
      <w:r>
        <w:t>Campus-to-corporate programme</w:t>
      </w:r>
      <w:r>
        <w:tab/>
      </w:r>
      <w:r>
        <w:rPr>
          <w:b w:val="0"/>
          <w:i w:val="0"/>
          <w:color w:val="555555"/>
        </w:rPr>
        <w:t>2018</w:t>
      </w:r>
    </w:p>
    <w:p>
      <w:pPr>
        <w:pStyle w:val="EntryMeta"/>
      </w:pPr>
      <w:r>
        <w:t>Tidewater Cloud</w:t>
      </w:r>
    </w:p>
    <w:p>
      <w:pPr>
        <w:pStyle w:val="ResumeBullet"/>
      </w:pPr>
      <w:r>
        <w:t>12-week onboarding for 400 graduates a year; first-year attrition halved.</w:t>
      </w:r>
    </w:p>
    <w:p>
      <w:pPr>
        <w:pStyle w:val="SectionHeading"/>
        <w:pBdr>
          <w:bottom w:val="double" w:sz="6" w:space="2" w:color="155E75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MBA, Human Resources</w:t>
      </w:r>
      <w:r>
        <w:tab/>
      </w:r>
      <w:r>
        <w:rPr>
          <w:b w:val="0"/>
          <w:i w:val="0"/>
          <w:color w:val="555555"/>
        </w:rPr>
        <w:t>2009 – 2011</w:t>
      </w:r>
    </w:p>
    <w:p>
      <w:pPr>
        <w:pStyle w:val="EntryMeta"/>
      </w:pPr>
      <w:r>
        <w:t>Deccan School of Business Management</w:t>
      </w:r>
    </w:p>
    <w:p>
      <w:pPr>
        <w:pStyle w:val="EntryTitle"/>
        <w:tabs>
          <w:tab w:pos="9638" w:val="right"/>
        </w:tabs>
      </w:pPr>
      <w:r>
        <w:t>B.A., Psychology, Sociology, English</w:t>
      </w:r>
      <w:r>
        <w:tab/>
      </w:r>
      <w:r>
        <w:rPr>
          <w:b w:val="0"/>
          <w:i w:val="0"/>
          <w:color w:val="555555"/>
        </w:rPr>
        <w:t>2006 – 2009</w:t>
      </w:r>
    </w:p>
    <w:p>
      <w:pPr>
        <w:pStyle w:val="EntryMeta"/>
      </w:pPr>
      <w:r>
        <w:t>St. Ann's Plains College, Hyderabad</w:t>
      </w:r>
    </w:p>
    <w:p>
      <w:pPr>
        <w:pStyle w:val="SectionHeading"/>
        <w:pBdr>
          <w:bottom w:val="double" w:sz="6" w:space="2" w:color="155E75"/>
        </w:pBdr>
      </w:pPr>
      <w:r>
        <w:t>Certifications</w:t>
      </w:r>
    </w:p>
    <w:p>
      <w:pPr>
        <w:pStyle w:val="ResumeBullet"/>
      </w:pPr>
      <w:r>
        <w:t>Senior Professional in Human Resources (international certification)</w:t>
      </w:r>
    </w:p>
    <w:p>
      <w:pPr>
        <w:pStyle w:val="ResumeBullet"/>
      </w:pPr>
      <w:r>
        <w:t>Certified coach (ICF ACC level)</w:t>
      </w:r>
    </w:p>
    <w:p>
      <w:pPr>
        <w:pStyle w:val="ResumeBullet"/>
      </w:pPr>
      <w:r>
        <w:t>POSH trainer certification</w:t>
      </w:r>
    </w:p>
    <w:p>
      <w:pPr>
        <w:pStyle w:val="SectionHeading"/>
        <w:pBdr>
          <w:bottom w:val="double" w:sz="6" w:space="2" w:color="155E75"/>
        </w:pBdr>
      </w:pPr>
      <w:r>
        <w:t>Awards &amp; Honours</w:t>
      </w:r>
    </w:p>
    <w:p>
      <w:pPr>
        <w:pStyle w:val="ResumeBullet"/>
      </w:pPr>
      <w:r>
        <w:t>Top 50 HR Leaders, national HR forum (2023)</w:t>
      </w:r>
    </w:p>
    <w:p>
      <w:pPr>
        <w:pStyle w:val="ResumeBullet"/>
      </w:pPr>
      <w:r>
        <w:t>Best Workplace for Women (company award, 2022)</w:t>
      </w:r>
    </w:p>
    <w:p>
      <w:pPr>
        <w:pStyle w:val="SectionHeading"/>
        <w:pBdr>
          <w:bottom w:val="double" w:sz="6" w:space="2" w:color="155E75"/>
        </w:pBdr>
      </w:pPr>
      <w:r>
        <w:t>Talks &amp; Presentations</w:t>
      </w:r>
    </w:p>
    <w:p>
      <w:pPr>
        <w:pStyle w:val="ResumeBullet"/>
      </w:pPr>
      <w:r>
        <w:t>Panel: “Designing careers, not ladders”, National HR Leadership Summit, Hyderabad, 2025.</w:t>
      </w:r>
    </w:p>
    <w:p>
      <w:pPr>
        <w:pStyle w:val="ResumeBullet"/>
      </w:pPr>
      <w:r>
        <w:t>Talk: “What hybrid work taught us about managers”, People Analytics Forum, Bengaluru, 2024.</w:t>
      </w:r>
    </w:p>
    <w:p>
      <w:pPr>
        <w:pStyle w:val="ResumeBullet"/>
      </w:pPr>
      <w:r>
        <w:t>Workshop: “Inclusive hiring for tech teams”, Women in Tech Conference, Pune, 2023.</w:t>
      </w:r>
    </w:p>
    <w:p>
      <w:pPr>
        <w:pStyle w:val="SectionHeading"/>
        <w:pBdr>
          <w:bottom w:val="double" w:sz="6" w:space="2" w:color="155E75"/>
        </w:pBdr>
      </w:pPr>
      <w:r>
        <w:t>Teaching &amp; Training</w:t>
      </w:r>
    </w:p>
    <w:p>
      <w:pPr>
        <w:pStyle w:val="ResumeBullet"/>
      </w:pPr>
      <w:r>
        <w:t>Guest lectures on talent management at 3 business schools</w:t>
      </w:r>
    </w:p>
    <w:p>
      <w:pPr>
        <w:pStyle w:val="SectionHeading"/>
        <w:pBdr>
          <w:bottom w:val="double" w:sz="6" w:space="2" w:color="155E75"/>
        </w:pBdr>
      </w:pPr>
      <w:r>
        <w:t>Committees &amp; Community</w:t>
      </w:r>
    </w:p>
    <w:p>
      <w:pPr>
        <w:pStyle w:val="ResumeBullet"/>
      </w:pPr>
      <w:r>
        <w:t>Mentor, women-in-leadership network</w:t>
      </w:r>
    </w:p>
    <w:p>
      <w:pPr>
        <w:pStyle w:val="ResumeBullet"/>
      </w:pPr>
      <w:r>
        <w:t>External member, Internal Committee (POSH) for two companies</w:t>
      </w:r>
    </w:p>
    <w:p>
      <w:pPr>
        <w:pStyle w:val="SectionHeading"/>
        <w:pBdr>
          <w:bottom w:val="double" w:sz="6" w:space="2" w:color="155E75"/>
        </w:pBdr>
      </w:pPr>
      <w:r>
        <w:t>References</w:t>
      </w:r>
    </w:p>
    <w:p>
      <w:pPr>
        <w:pStyle w:val="BodyText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 w:eastAsia="Inter" w:cs="Inter"/>
        <w:color w:val="888888"/>
        <w:sz w:val="16"/>
        <w:szCs w:val="16"/>
      </w:rPr>
      <w:t xml:space="preserve">Page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PAGE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  <w:r>
      <w:rPr>
        <w:rFonts w:ascii="Inter" w:hAnsi="Inter" w:eastAsia="Inter" w:cs="Inter"/>
        <w:color w:val="888888"/>
        <w:sz w:val="16"/>
        <w:szCs w:val="16"/>
      </w:rPr>
      <w:t xml:space="preserve"> of </w:t>
    </w:r>
    <w:r>
      <w:rPr>
        <w:rFonts w:ascii="Inter" w:hAnsi="Inter" w:eastAsia="Inter" w:cs="Inter"/>
        <w:color w:val="888888"/>
        <w:sz w:val="16"/>
        <w:szCs w:val="16"/>
      </w:rPr>
      <w:fldChar w:fldCharType="begin"/>
    </w:r>
    <w:r>
      <w:rPr>
        <w:rFonts w:ascii="Inter" w:hAnsi="Inter" w:eastAsia="Inter" w:cs="Inter"/>
        <w:color w:val="888888"/>
        <w:sz w:val="16"/>
        <w:szCs w:val="16"/>
      </w:rPr>
      <w:instrText xml:space="preserve"> NUMPAGES </w:instrText>
    </w:r>
    <w:r>
      <w:rPr>
        <w:rFonts w:ascii="Inter" w:hAnsi="Inter" w:eastAsia="Inter" w:cs="Inter"/>
        <w:color w:val="888888"/>
        <w:sz w:val="16"/>
        <w:szCs w:val="16"/>
      </w:rPr>
      <w:fldChar w:fldCharType="separate"/>
    </w:r>
    <w:r>
      <w:rPr>
        <w:rFonts w:ascii="Inter" w:hAnsi="Inter" w:eastAsia="Inter" w:cs="Inter"/>
        <w:color w:val="888888"/>
        <w:sz w:val="16"/>
        <w:szCs w:val="16"/>
      </w:rPr>
      <w:t>1</w:t>
    </w:r>
    <w:r>
      <w:rPr>
        <w:rFonts w:ascii="Inter" w:hAnsi="Inter" w:eastAsia="Inter" w:cs="Inter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Deepika Rao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283" w:hanging="227"/>
      </w:pPr>
      <w:rPr>
        <w:rFonts w:ascii="Segoe UI Symbol" w:hAnsi="Segoe UI Symbol" w:cs="Segoe UI Symbol" w:hint="default"/>
        <w:color w:val="155E7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Inter" w:hAnsi="Inter" w:eastAsia="Inter" w:cs="Mukta"/>
      <w:color w:val="1E1E1E"/>
      <w:sz w:val="18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Space Grotesk" w:hAnsi="Space Grotesk" w:eastAsia="Space Grotesk" w:cs="Mukta"/>
      <w:b/>
      <w:bCs/>
      <w:i w:val="0"/>
      <w:caps/>
      <w:smallCaps w:val="0"/>
      <w:color w:val="1E1E1E"/>
      <w:spacing w:val="4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Inter" w:hAnsi="Inter" w:eastAsia="Inter" w:cs="Mukta"/>
      <w:b w:val="0"/>
      <w:i w:val="0"/>
      <w:caps w:val="0"/>
      <w:smallCaps w:val="0"/>
      <w:color w:val="1E1E1E"/>
      <w:sz w:val="20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Inter" w:hAnsi="Inter" w:eastAsia="Inter" w:cs="Mukta"/>
      <w:b w:val="0"/>
      <w:i w:val="0"/>
      <w:caps w:val="0"/>
      <w:smallCaps w:val="0"/>
      <w:color w:val="555555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Space Grotesk" w:hAnsi="Space Grotesk" w:eastAsia="Space Grotesk" w:cs="Mukta"/>
      <w:b/>
      <w:bCs/>
      <w:i w:val="0"/>
      <w:caps/>
      <w:smallCaps w:val="0"/>
      <w:color w:val="155E75"/>
      <w:spacing w:val="28"/>
      <w:sz w:val="21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Inter" w:hAnsi="Inter" w:eastAsia="Inter" w:cs="Mukta"/>
      <w:b/>
      <w:bCs/>
      <w:i w:val="0"/>
      <w:caps w:val="0"/>
      <w:smallCaps w:val="0"/>
      <w:color w:val="1E1E1E"/>
      <w:sz w:val="18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Inter" w:hAnsi="Inter" w:eastAsia="Inter" w:cs="Mukta"/>
      <w:b w:val="0"/>
      <w:i/>
      <w:caps w:val="0"/>
      <w:smallCaps w:val="0"/>
      <w:color w:val="444444"/>
      <w:sz w:val="18"/>
      <w:szCs w:val="19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Inter" w:hAnsi="Inter" w:eastAsia="Inter" w:cs="Mukta"/>
      <w:b w:val="0"/>
      <w:i w:val="0"/>
      <w:caps w:val="0"/>
      <w:smallCaps w:val="0"/>
      <w:color w:val="1E1E1E"/>
      <w:sz w:val="17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Inter" w:hAnsi="Inter" w:eastAsia="Inter" w:cs="Mukta"/>
      <w:b w:val="0"/>
      <w:i w:val="0"/>
      <w:caps w:val="0"/>
      <w:smallCaps w:val="0"/>
      <w:color w:val="1E1E1E"/>
      <w:sz w:val="18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Header · Double Rules — HR Leader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