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pBdr>
          <w:left w:val="single" w:sz="48" w:space="12" w:color="3F6212"/>
        </w:pBdr>
        <w:ind w:left="283"/>
      </w:pPr>
      <w:r>
        <w:t>Shri Manoj Pandey, IRS</w:t>
      </w:r>
    </w:p>
    <w:p>
      <w:pPr>
        <w:pStyle w:val="Role"/>
        <w:pBdr>
          <w:left w:val="single" w:sz="48" w:space="12" w:color="3F6212"/>
        </w:pBdr>
        <w:ind w:left="283"/>
      </w:pPr>
      <w:r>
        <w:t>Additional Commissioner of Income Tax · Indian Revenue Service (2009 batch)</w:t>
      </w:r>
    </w:p>
    <w:p>
      <w:pPr>
        <w:pStyle w:val="Contact"/>
        <w:pBdr>
          <w:left w:val="single" w:sz="48" w:space="12" w:color="3F6212"/>
        </w:pBdr>
        <w:spacing w:after="80"/>
        <w:ind w:left="283"/>
      </w:pPr>
      <w:r>
        <w:t>Mumbai, India</w:t>
      </w:r>
      <w:r>
        <w:rPr>
          <w:color w:val="3F6212"/>
        </w:rPr>
        <w:t xml:space="preserve">   |   </w:t>
      </w:r>
      <w:r>
        <w:t>+91 22 XXXX XXXX</w:t>
      </w:r>
      <w:r>
        <w:rPr>
          <w:color w:val="3F6212"/>
        </w:rPr>
        <w:t xml:space="preserve">   |   </w:t>
      </w:r>
      <w:r>
        <w:t>manoj.pandey@tax.gov.example</w:t>
      </w:r>
    </w:p>
    <w:p>
      <w:pPr>
        <w:pStyle w:val="SectionHeading"/>
        <w:shd w:val="clear" w:color="auto" w:fill="F5F0E8"/>
        <w:ind w:left="85"/>
      </w:pPr>
      <w:r>
        <w:t>Profile</w:t>
      </w:r>
    </w:p>
    <w:p>
      <w:pPr>
        <w:pStyle w:val="Summary"/>
      </w:pPr>
      <w:r>
        <w:t>Revenue officer with 16 years in direct-tax administration, international taxation and data-driven compliance. Helped design the faceless assessment workflow now used nationwide.</w:t>
      </w:r>
    </w:p>
    <w:p>
      <w:pPr>
        <w:pStyle w:val="SectionHeading"/>
        <w:shd w:val="clear" w:color="auto" w:fill="F5F0E8"/>
        <w:ind w:left="85"/>
      </w:pPr>
      <w:r>
        <w:t>Personal Details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Date of birth</w:t>
      </w:r>
      <w:r>
        <w:tab/>
      </w:r>
      <w:r>
        <w:t>:  30 November 1983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Service / Batch</w:t>
      </w:r>
      <w:r>
        <w:tab/>
      </w:r>
      <w:r>
        <w:t>:  IRS (Income Tax), 2009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Present posting</w:t>
      </w:r>
      <w:r>
        <w:tab/>
      </w:r>
      <w:r>
        <w:t>:  Additional Commissioner, International Taxation, Mumbai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Home state</w:t>
      </w:r>
      <w:r>
        <w:tab/>
      </w:r>
      <w:r>
        <w:t>:  Uttar Pradesh</w:t>
      </w:r>
    </w:p>
    <w:p>
      <w:pPr>
        <w:pStyle w:val="BodyText"/>
        <w:tabs>
          <w:tab w:pos="2551" w:val="left"/>
        </w:tabs>
        <w:ind w:left="2551" w:right="0" w:hanging="2551"/>
      </w:pPr>
      <w:r>
        <w:rPr>
          <w:b/>
          <w:bCs/>
        </w:rPr>
        <w:t>Languages known</w:t>
      </w:r>
      <w:r>
        <w:tab/>
      </w:r>
      <w:r>
        <w:t>:  Hindi, English, Awadhi</w:t>
      </w:r>
    </w:p>
    <w:p>
      <w:pPr>
        <w:pStyle w:val="SectionHeading"/>
        <w:shd w:val="clear" w:color="auto" w:fill="F5F0E8"/>
        <w:ind w:left="85"/>
      </w:pPr>
      <w:r>
        <w:t>Service Record</w:t>
      </w:r>
    </w:p>
    <w:p>
      <w:pPr>
        <w:pStyle w:val="EntryTitle"/>
        <w:tabs>
          <w:tab w:pos="9411" w:val="right"/>
        </w:tabs>
      </w:pPr>
      <w:r>
        <w:t>Additional Commissioner, International Taxation</w:t>
      </w:r>
      <w:r>
        <w:tab/>
      </w:r>
      <w:r>
        <w:rPr>
          <w:b w:val="0"/>
          <w:i w:val="0"/>
          <w:color w:val="555555"/>
        </w:rPr>
        <w:t>2021 – Present</w:t>
      </w:r>
    </w:p>
    <w:p>
      <w:pPr>
        <w:pStyle w:val="EntryMeta"/>
      </w:pPr>
      <w:r>
        <w:t>Income Tax Department, Mumbai</w:t>
      </w:r>
    </w:p>
    <w:p>
      <w:pPr>
        <w:pStyle w:val="ResumeBullet"/>
      </w:pPr>
      <w:r>
        <w:t>Lead transfer-pricing and treaty cases with ₹4,000 crore of tax at stake.</w:t>
      </w:r>
    </w:p>
    <w:p>
      <w:pPr>
        <w:pStyle w:val="ResumeBullet"/>
      </w:pPr>
      <w:r>
        <w:t>Represent the department in advance pricing agreement talks.</w:t>
      </w:r>
    </w:p>
    <w:p>
      <w:pPr>
        <w:pStyle w:val="EntryTitle"/>
        <w:tabs>
          <w:tab w:pos="9411" w:val="right"/>
        </w:tabs>
      </w:pPr>
      <w:r>
        <w:t>Joint Commissioner, Faceless Assessment Unit</w:t>
      </w:r>
      <w:r>
        <w:tab/>
      </w:r>
      <w:r>
        <w:rPr>
          <w:b w:val="0"/>
          <w:i w:val="0"/>
          <w:color w:val="555555"/>
        </w:rPr>
        <w:t>2018 – 2021</w:t>
      </w:r>
    </w:p>
    <w:p>
      <w:pPr>
        <w:pStyle w:val="EntryMeta"/>
      </w:pPr>
      <w:r>
        <w:t>National e-Assessment Centre, New Delhi</w:t>
      </w:r>
    </w:p>
    <w:p>
      <w:pPr>
        <w:pStyle w:val="ResumeBullet"/>
      </w:pPr>
      <w:r>
        <w:t>Helped design the faceless assessment workflow and risk-scoring rules.</w:t>
      </w:r>
    </w:p>
    <w:p>
      <w:pPr>
        <w:pStyle w:val="EntryTitle"/>
        <w:tabs>
          <w:tab w:pos="9411" w:val="right"/>
        </w:tabs>
      </w:pPr>
      <w:r>
        <w:t>Deputy Commissioner</w:t>
      </w:r>
      <w:r>
        <w:tab/>
      </w:r>
      <w:r>
        <w:rPr>
          <w:b w:val="0"/>
          <w:i w:val="0"/>
          <w:color w:val="555555"/>
        </w:rPr>
        <w:t>2013 – 2018</w:t>
      </w:r>
    </w:p>
    <w:p>
      <w:pPr>
        <w:pStyle w:val="EntryMeta"/>
      </w:pPr>
      <w:r>
        <w:t>Income Tax Department, Kolkata</w:t>
      </w:r>
    </w:p>
    <w:p>
      <w:pPr>
        <w:pStyle w:val="ResumeBullet"/>
      </w:pPr>
      <w:r>
        <w:t>Large-taxpayer audits; recovered ₹600 crore in disputed demands.</w:t>
      </w:r>
    </w:p>
    <w:p>
      <w:pPr>
        <w:pStyle w:val="EntryTitle"/>
        <w:tabs>
          <w:tab w:pos="9411" w:val="right"/>
        </w:tabs>
      </w:pPr>
      <w:r>
        <w:t>Assistant Commissioner (Probation)</w:t>
      </w:r>
      <w:r>
        <w:tab/>
      </w:r>
      <w:r>
        <w:rPr>
          <w:b w:val="0"/>
          <w:i w:val="0"/>
          <w:color w:val="555555"/>
        </w:rPr>
        <w:t>2010 – 2013</w:t>
      </w:r>
    </w:p>
    <w:p>
      <w:pPr>
        <w:pStyle w:val="EntryMeta"/>
      </w:pPr>
      <w:r>
        <w:t>National Academy of Direct Taxes</w:t>
      </w:r>
    </w:p>
    <w:p>
      <w:pPr>
        <w:pStyle w:val="ResumeBullet"/>
      </w:pPr>
      <w:r>
        <w:t>Training and field postings.</w:t>
      </w:r>
    </w:p>
    <w:p>
      <w:pPr>
        <w:pStyle w:val="SectionHeading"/>
        <w:shd w:val="clear" w:color="auto" w:fill="F5F0E8"/>
        <w:ind w:left="85"/>
      </w:pPr>
      <w:r>
        <w:t>Education</w:t>
      </w:r>
    </w:p>
    <w:p>
      <w:pPr>
        <w:pStyle w:val="EntryTitle"/>
        <w:tabs>
          <w:tab w:pos="9411" w:val="right"/>
        </w:tabs>
      </w:pPr>
      <w:r>
        <w:t>Chartered Accountant</w:t>
      </w:r>
      <w:r>
        <w:tab/>
      </w:r>
      <w:r>
        <w:rPr>
          <w:b w:val="0"/>
          <w:i w:val="0"/>
          <w:color w:val="555555"/>
        </w:rPr>
        <w:t>2006</w:t>
      </w:r>
    </w:p>
    <w:p>
      <w:pPr>
        <w:pStyle w:val="EntryMeta"/>
      </w:pPr>
      <w:r>
        <w:t>Institute of Chartered Accountants (national body)</w:t>
      </w:r>
    </w:p>
    <w:p>
      <w:pPr>
        <w:pStyle w:val="EntryTitle"/>
        <w:tabs>
          <w:tab w:pos="9411" w:val="right"/>
        </w:tabs>
      </w:pPr>
      <w:r>
        <w:t>M.Com.</w:t>
      </w:r>
      <w:r>
        <w:tab/>
      </w:r>
      <w:r>
        <w:rPr>
          <w:b w:val="0"/>
          <w:i w:val="0"/>
          <w:color w:val="555555"/>
        </w:rPr>
        <w:t>2004 – 2006</w:t>
      </w:r>
    </w:p>
    <w:p>
      <w:pPr>
        <w:pStyle w:val="EntryMeta"/>
      </w:pPr>
      <w:r>
        <w:t>Ganga Valley University</w:t>
      </w:r>
    </w:p>
    <w:p>
      <w:pPr>
        <w:pStyle w:val="BodyText"/>
      </w:pPr>
      <w:r>
        <w:t>First Class</w:t>
      </w:r>
    </w:p>
    <w:p>
      <w:pPr>
        <w:pStyle w:val="EntryTitle"/>
        <w:tabs>
          <w:tab w:pos="9411" w:val="right"/>
        </w:tabs>
      </w:pPr>
      <w:r>
        <w:t>B.Com.</w:t>
      </w:r>
      <w:r>
        <w:tab/>
      </w:r>
      <w:r>
        <w:rPr>
          <w:b w:val="0"/>
          <w:i w:val="0"/>
          <w:color w:val="555555"/>
        </w:rPr>
        <w:t>2001 – 2004</w:t>
      </w:r>
    </w:p>
    <w:p>
      <w:pPr>
        <w:pStyle w:val="EntryMeta"/>
      </w:pPr>
      <w:r>
        <w:t>Ganga Valley University</w:t>
      </w:r>
    </w:p>
    <w:p>
      <w:pPr>
        <w:pStyle w:val="SectionHeading"/>
        <w:shd w:val="clear" w:color="auto" w:fill="F5F0E8"/>
        <w:ind w:left="85"/>
      </w:pPr>
      <w:r>
        <w:t>Trainings Attended</w:t>
      </w:r>
    </w:p>
    <w:p>
      <w:pPr>
        <w:pStyle w:val="ResumeBullet"/>
      </w:pPr>
      <w:r>
        <w:t>Induction training, national direct-taxes academy (2010–2011)</w:t>
      </w:r>
    </w:p>
    <w:p>
      <w:pPr>
        <w:pStyle w:val="ResumeBullet"/>
      </w:pPr>
      <w:r>
        <w:t>International taxation programme, overseas tax institute (2017)</w:t>
      </w:r>
    </w:p>
    <w:p>
      <w:pPr>
        <w:pStyle w:val="ResumeBullet"/>
      </w:pPr>
      <w:r>
        <w:t>Data analytics for tax administration (2020)</w:t>
      </w:r>
    </w:p>
    <w:p>
      <w:pPr>
        <w:pStyle w:val="SectionHeading"/>
        <w:shd w:val="clear" w:color="auto" w:fill="F5F0E8"/>
        <w:ind w:left="85"/>
      </w:pPr>
      <w:r>
        <w:t>Awards &amp; Honours</w:t>
      </w:r>
    </w:p>
    <w:p>
      <w:pPr>
        <w:pStyle w:val="ResumeBullet"/>
      </w:pPr>
      <w:r>
        <w:t>Commendation certificate, Central Board of Direct Taxes (2020)</w:t>
      </w:r>
    </w:p>
    <w:p>
      <w:pPr>
        <w:pStyle w:val="ResumeBullet"/>
      </w:pPr>
      <w:r>
        <w:t>Best probationer in law, national direct-taxes academy (2011)</w:t>
      </w:r>
    </w:p>
    <w:p>
      <w:pPr>
        <w:pStyle w:val="SectionHeading"/>
        <w:shd w:val="clear" w:color="auto" w:fill="F5F0E8"/>
        <w:ind w:left="85"/>
      </w:pPr>
      <w:r>
        <w:t>Publications</w:t>
      </w:r>
    </w:p>
    <w:p>
      <w:pPr>
        <w:pStyle w:val="Citation"/>
      </w:pPr>
      <w:r>
        <w:t xml:space="preserve">Rao, S., Fischer, A., </w:t>
      </w:r>
      <w:r>
        <w:rPr>
          <w:b/>
          <w:bCs/>
        </w:rPr>
        <w:t>Pandey, M.</w:t>
      </w:r>
      <w:r>
        <w:t>, &amp; Chen, L.</w:t>
      </w:r>
      <w:r>
        <w:t xml:space="preserve"> (2026). Understanding school meals and attendance. </w:t>
      </w:r>
      <w:r>
        <w:rPr>
          <w:i/>
        </w:rPr>
        <w:t>Working Paper Series, Centre for Policy Research</w:t>
      </w:r>
      <w:r>
        <w:t>, 5(2), 412–431.</w:t>
      </w:r>
    </w:p>
    <w:p>
      <w:pPr>
        <w:pStyle w:val="Citation"/>
      </w:pPr>
      <w:r>
        <w:t xml:space="preserve">Iyer, M., &amp; </w:t>
      </w:r>
      <w:r>
        <w:rPr>
          <w:b/>
          <w:bCs/>
        </w:rPr>
        <w:t>Pandey, M.</w:t>
      </w:r>
      <w:r/>
      <w:r>
        <w:t xml:space="preserve"> (2026). New approaches to female labour force participation. </w:t>
      </w:r>
      <w:r>
        <w:rPr>
          <w:i/>
        </w:rPr>
        <w:t>Working Paper Series, Centre for Policy Research</w:t>
      </w:r>
      <w:r>
        <w:t>, 21(12), 131–149.</w:t>
      </w:r>
    </w:p>
    <w:p>
      <w:pPr>
        <w:pStyle w:val="Citation"/>
      </w:pPr>
      <w:r/>
      <w:r>
        <w:rPr>
          <w:b/>
          <w:bCs/>
        </w:rPr>
        <w:t>Pandey, M.</w:t>
      </w:r>
      <w:r>
        <w:t>, Menon, V., Chen, L., &amp; Gupta, R.</w:t>
      </w:r>
      <w:r>
        <w:t xml:space="preserve"> (2026). Measuring monsoon shocks and food prices. </w:t>
      </w:r>
      <w:r>
        <w:rPr>
          <w:i/>
        </w:rPr>
        <w:t>Economic Policy Letters</w:t>
      </w:r>
      <w:r>
        <w:t>, 29(11), 559–572.</w:t>
      </w:r>
    </w:p>
    <w:p>
      <w:pPr>
        <w:pStyle w:val="SectionHeading"/>
        <w:shd w:val="clear" w:color="auto" w:fill="F5F0E8"/>
        <w:ind w:left="85"/>
      </w:pPr>
      <w:r>
        <w:t>Talks &amp; Presentations</w:t>
      </w:r>
    </w:p>
    <w:p>
      <w:pPr>
        <w:pStyle w:val="ResumeBullet"/>
      </w:pPr>
      <w:r>
        <w:t>Invited talk: “Towards school meals and attendance”, Working Paper Series, Centre for Policy Research, Kyoto, 2026.</w:t>
      </w:r>
    </w:p>
    <w:p>
      <w:pPr>
        <w:pStyle w:val="ResumeBullet"/>
      </w:pPr>
      <w:r>
        <w:t>Contributed talk: “Understanding female labour force participation”, Annual Conference on Development Economics, London, 2026.</w:t>
      </w:r>
    </w:p>
    <w:p>
      <w:pPr>
        <w:pStyle w:val="ResumeBullet"/>
      </w:pPr>
      <w:r>
        <w:t>Seminar: “A study of rural employment guarantees”, Review of Labour and Markets, Toronto, 2025.</w:t>
      </w:r>
    </w:p>
    <w:p>
      <w:pPr>
        <w:pStyle w:val="SectionHeading"/>
        <w:shd w:val="clear" w:color="auto" w:fill="F5F0E8"/>
        <w:ind w:left="85"/>
      </w:pPr>
      <w:r>
        <w:t>Teaching &amp; Training</w:t>
      </w:r>
    </w:p>
    <w:p>
      <w:pPr>
        <w:pStyle w:val="ResumeBullet"/>
      </w:pPr>
      <w:r>
        <w:t>Faculty for international taxation at the national direct-taxes academy (2021–present)</w:t>
      </w:r>
    </w:p>
    <w:p>
      <w:pPr>
        <w:pStyle w:val="SectionHeading"/>
        <w:shd w:val="clear" w:color="auto" w:fill="F5F0E8"/>
        <w:ind w:left="85"/>
      </w:pPr>
      <w:r>
        <w:t>International &amp; Committee Work</w:t>
      </w:r>
    </w:p>
    <w:p>
      <w:pPr>
        <w:pStyle w:val="ResumeBullet"/>
      </w:pPr>
      <w:r>
        <w:t>Indian delegation, multilateral tax forum working party (2022)</w:t>
      </w:r>
    </w:p>
    <w:p>
      <w:pPr>
        <w:pStyle w:val="SectionHeading"/>
        <w:shd w:val="clear" w:color="auto" w:fill="F5F0E8"/>
        <w:ind w:left="85"/>
      </w:pPr>
      <w:r>
        <w:t>Skills</w:t>
      </w:r>
    </w:p>
    <w:p>
      <w:pPr>
        <w:pStyle w:val="BodyText"/>
      </w:pPr>
      <w:r>
        <w:rPr>
          <w:b/>
          <w:bCs/>
        </w:rPr>
        <w:t xml:space="preserve">Tax: </w:t>
      </w:r>
      <w:r>
        <w:t>Direct tax law, transfer pricing, tax treaties, investigation</w:t>
      </w:r>
    </w:p>
    <w:p>
      <w:pPr>
        <w:pStyle w:val="BodyText"/>
      </w:pPr>
      <w:r>
        <w:rPr>
          <w:b/>
          <w:bCs/>
        </w:rPr>
        <w:t xml:space="preserve">Technical: </w:t>
      </w:r>
      <w:r>
        <w:t>Risk analytics, e-assessment systems, Excel, SQL basics</w:t>
      </w:r>
    </w:p>
    <w:p>
      <w:pPr>
        <w:pStyle w:val="BodyText"/>
      </w:pPr>
      <w:r>
        <w:rPr>
          <w:b/>
          <w:bCs/>
        </w:rPr>
        <w:t xml:space="preserve">Languages: </w:t>
      </w:r>
      <w:r>
        <w:t>Hindi, English, Awadhi</w:t>
      </w:r>
    </w:p>
    <w:p>
      <w:pPr>
        <w:pStyle w:val="SectionHeading"/>
        <w:shd w:val="clear" w:color="auto" w:fill="F5F0E8"/>
        <w:ind w:left="85"/>
      </w:pPr>
      <w:r>
        <w:t>Declaration</w:t>
      </w:r>
    </w:p>
    <w:p>
      <w:pPr>
        <w:pStyle w:val="BodyText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411" w:val="right"/>
        </w:tabs>
        <w:spacing w:before="360"/>
      </w:pPr>
      <w:r>
        <w:t>Place: Mumbai</w:t>
      </w:r>
      <w:r>
        <w:tab/>
      </w:r>
      <w:r>
        <w:t>(Signature)</w:t>
      </w:r>
    </w:p>
    <w:p>
      <w:pPr>
        <w:pStyle w:val="BodyText"/>
        <w:tabs>
          <w:tab w:pos="9411" w:val="right"/>
        </w:tabs>
      </w:pPr>
      <w:r>
        <w:t>Date: ____________</w:t>
      </w:r>
      <w:r>
        <w:tab/>
      </w:r>
      <w:r>
        <w:rPr>
          <w:b/>
          <w:bCs/>
        </w:rPr>
        <w:t>Shri Manoj Pandey, IRS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Calibri"/>
        <w:color w:val="888888"/>
        <w:sz w:val="16"/>
        <w:szCs w:val="16"/>
      </w:rPr>
      <w:t xml:space="preserve">Page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PAGE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  <w:r>
      <w:rPr>
        <w:rFonts w:ascii="Calibri" w:hAnsi="Calibri" w:eastAsia="Calibri" w:cs="Calibri"/>
        <w:color w:val="888888"/>
        <w:sz w:val="16"/>
        <w:szCs w:val="16"/>
      </w:rPr>
      <w:t xml:space="preserve"> of </w:t>
    </w:r>
    <w:r>
      <w:rPr>
        <w:rFonts w:ascii="Calibri" w:hAnsi="Calibri" w:eastAsia="Calibri" w:cs="Calibri"/>
        <w:color w:val="888888"/>
        <w:sz w:val="16"/>
        <w:szCs w:val="16"/>
      </w:rPr>
      <w:fldChar w:fldCharType="begin"/>
    </w:r>
    <w:r>
      <w:rPr>
        <w:rFonts w:ascii="Calibri" w:hAnsi="Calibri" w:eastAsia="Calibri" w:cs="Calibri"/>
        <w:color w:val="888888"/>
        <w:sz w:val="16"/>
        <w:szCs w:val="16"/>
      </w:rPr>
      <w:instrText xml:space="preserve"> NUMPAGES </w:instrText>
    </w:r>
    <w:r>
      <w:rPr>
        <w:rFonts w:ascii="Calibri" w:hAnsi="Calibri" w:eastAsia="Calibri" w:cs="Calibri"/>
        <w:color w:val="888888"/>
        <w:sz w:val="16"/>
        <w:szCs w:val="16"/>
      </w:rPr>
      <w:fldChar w:fldCharType="separate"/>
    </w:r>
    <w:r>
      <w:rPr>
        <w:rFonts w:ascii="Calibri" w:hAnsi="Calibri" w:eastAsia="Calibri" w:cs="Calibri"/>
        <w:color w:val="888888"/>
        <w:sz w:val="16"/>
        <w:szCs w:val="16"/>
      </w:rPr>
      <w:t>1</w:t>
    </w:r>
    <w:r>
      <w:rPr>
        <w:rFonts w:ascii="Calibri" w:hAnsi="Calibri" w:eastAsia="Calibri" w:cs="Calibri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Shri Manoj Pandey, IRS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3F6212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alibri" w:hAnsi="Calibri" w:eastAsia="Calibri" w:cs="Mukta"/>
      <w:color w:val="1E1E1E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alibri" w:hAnsi="Calibri" w:eastAsia="Calibri" w:cs="Mukta"/>
      <w:b w:val="0"/>
      <w:i w:val="0"/>
      <w:caps w:val="0"/>
      <w:smallCaps w:val="0"/>
      <w:color w:val="1E1E1E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ambria" w:hAnsi="Cambria" w:eastAsia="Cambria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Calibri" w:hAnsi="Calibri" w:eastAsia="Calibri" w:cs="Mukta"/>
      <w:b w:val="0"/>
      <w:i w:val="0"/>
      <w:caps w:val="0"/>
      <w:smallCaps w:val="0"/>
      <w:color w:val="1E1E1E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alibri" w:hAnsi="Calibri" w:eastAsia="Calibri" w:cs="Mukta"/>
      <w:b w:val="0"/>
      <w:i w:val="0"/>
      <w:caps w:val="0"/>
      <w:smallCaps w:val="0"/>
      <w:color w:val="555555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ambria" w:hAnsi="Cambria" w:eastAsia="Cambria" w:cs="Mukta"/>
      <w:b/>
      <w:bCs/>
      <w:i w:val="0"/>
      <w:caps/>
      <w:smallCaps w:val="0"/>
      <w:color w:val="3F6212"/>
      <w:spacing w:val="28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alibri" w:hAnsi="Calibri" w:eastAsia="Calibri" w:cs="Mukta"/>
      <w:b w:val="0"/>
      <w:i w:val="0"/>
      <w:caps w:val="0"/>
      <w:smallCaps w:val="0"/>
      <w:color w:val="1E1E1E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alibri" w:hAnsi="Calibri" w:eastAsia="Calibri" w:cs="Mukta"/>
      <w:b/>
      <w:bCs/>
      <w:i w:val="0"/>
      <w:caps w:val="0"/>
      <w:smallCaps w:val="0"/>
      <w:color w:val="1E1E1E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Mukta"/>
      <w:b w:val="0"/>
      <w:i/>
      <w:caps w:val="0"/>
      <w:smallCaps w:val="0"/>
      <w:color w:val="444444"/>
      <w:sz w:val="21"/>
      <w:szCs w:val="21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alibri" w:hAnsi="Calibri" w:eastAsia="Calibri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alibri" w:hAnsi="Calibri" w:eastAsia="Calibri" w:cs="Mukta"/>
      <w:b w:val="0"/>
      <w:i w:val="0"/>
      <w:caps w:val="0"/>
      <w:smallCaps w:val="0"/>
      <w:color w:val="1E1E1E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Accent Bar · Shaded Bands — IRS Officer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