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act"/>
        <w:pBdr>
          <w:left w:val="single" w:sz="4" w:space="16" w:color="E6ECF0"/>
          <w:right w:val="single" w:sz="4" w:space="16" w:color="E6ECF0"/>
        </w:pBdr>
        <w:shd w:val="clear" w:color="auto" w:fill="E6ECF0"/>
        <w:spacing w:line="192" w:lineRule="auto"/>
        <w:ind w:left="340" w:right="340"/>
      </w:pPr>
    </w:p>
    <w:p>
      <w:pPr>
        <w:pStyle w:val="Name"/>
        <w:pBdr>
          <w:left w:val="single" w:sz="4" w:space="16" w:color="E6ECF0"/>
          <w:right w:val="single" w:sz="4" w:space="16" w:color="E6ECF0"/>
        </w:pBdr>
        <w:shd w:val="clear" w:color="auto" w:fill="E6ECF0"/>
        <w:spacing w:before="0"/>
        <w:ind w:left="340" w:right="340"/>
      </w:pPr>
      <w:r>
        <w:t>Dr. Tenzing Lhamo</w:t>
      </w:r>
    </w:p>
    <w:p>
      <w:pPr>
        <w:pStyle w:val="Role"/>
        <w:pBdr>
          <w:left w:val="single" w:sz="4" w:space="16" w:color="E6ECF0"/>
          <w:right w:val="single" w:sz="4" w:space="16" w:color="E6ECF0"/>
        </w:pBdr>
        <w:shd w:val="clear" w:color="auto" w:fill="E6ECF0"/>
        <w:ind w:left="340" w:right="340"/>
      </w:pPr>
      <w:r>
        <w:t>Assistant Professor of Linguistics</w:t>
      </w:r>
    </w:p>
    <w:p>
      <w:pPr>
        <w:pStyle w:val="Contact"/>
        <w:pBdr>
          <w:left w:val="single" w:sz="4" w:space="16" w:color="E6ECF0"/>
          <w:right w:val="single" w:sz="4" w:space="16" w:color="E6ECF0"/>
        </w:pBdr>
        <w:shd w:val="clear" w:color="auto" w:fill="E6ECF0"/>
        <w:ind w:left="340" w:right="340"/>
      </w:pPr>
      <w:r>
        <w:t>Gangtok, Sikkim</w:t>
      </w:r>
      <w:r>
        <w:rPr>
          <w:color w:val="0C4A6E"/>
        </w:rPr>
        <w:t xml:space="preserve">   |   </w:t>
      </w:r>
      <w:r>
        <w:t>+91 97330 18462</w:t>
      </w:r>
      <w:r>
        <w:rPr>
          <w:color w:val="0C4A6E"/>
        </w:rPr>
        <w:t xml:space="preserve">   |   </w:t>
      </w:r>
      <w:r>
        <w:t>tenzing.lhamo@university.edu</w:t>
      </w:r>
      <w:r>
        <w:rPr>
          <w:color w:val="0C4A6E"/>
        </w:rPr>
        <w:t xml:space="preserve">   |   </w:t>
      </w:r>
      <w:r>
        <w:t>himalayanlanguages.org</w:t>
      </w:r>
    </w:p>
    <w:p>
      <w:pPr>
        <w:pStyle w:val="Contact"/>
        <w:pBdr>
          <w:left w:val="single" w:sz="4" w:space="16" w:color="E6ECF0"/>
          <w:bottom w:val="single" w:sz="18" w:space="0" w:color="0C4A6E"/>
          <w:right w:val="single" w:sz="4" w:space="16" w:color="E6ECF0"/>
        </w:pBdr>
        <w:shd w:val="clear" w:color="auto" w:fill="E6ECF0"/>
        <w:spacing w:before="0" w:after="0" w:line="168" w:lineRule="auto"/>
        <w:ind w:left="340" w:right="340"/>
      </w:pPr>
      <w:r/>
    </w:p>
    <w:p>
      <w:pPr>
        <w:pStyle w:val="SectionHeading"/>
        <w:pBdr>
          <w:bottom w:val="double" w:sz="6" w:space="2" w:color="0C4A6E"/>
        </w:pBdr>
      </w:pPr>
      <w:r>
        <w:t>Profile</w:t>
      </w:r>
    </w:p>
    <w:p>
      <w:pPr>
        <w:pStyle w:val="Summary"/>
      </w:pPr>
      <w:r>
        <w:t>Field linguist documenting the endangered languages of the eastern Himalaya and building open dictionaries and speech corpora with local communities.</w:t>
      </w:r>
    </w:p>
    <w:p>
      <w:pPr>
        <w:pStyle w:val="BodyText"/>
        <w:spacing w:before="80"/>
      </w:pPr>
      <w:r>
        <w:rPr>
          <w:b/>
          <w:bCs/>
          <w:color w:val="0C4A6E"/>
        </w:rPr>
        <w:t xml:space="preserve">Research interests: </w:t>
      </w:r>
      <w:r>
        <w:t>Language documentation · tone and phonology · community archives · speech technology for small languages</w:t>
      </w:r>
    </w:p>
    <w:p>
      <w:pPr>
        <w:pStyle w:val="SectionHeading"/>
        <w:pBdr>
          <w:bottom w:val="double" w:sz="6" w:space="2" w:color="0C4A6E"/>
        </w:pBdr>
      </w:pPr>
      <w:r>
        <w:t>Education</w:t>
      </w:r>
    </w:p>
    <w:p>
      <w:pPr>
        <w:pStyle w:val="EntryTitle"/>
        <w:tabs>
          <w:tab w:pos="9524" w:val="right"/>
        </w:tabs>
      </w:pPr>
      <w:r>
        <w:t>Ph.D., Linguistics</w:t>
      </w:r>
      <w:r>
        <w:tab/>
      </w:r>
      <w:r>
        <w:rPr>
          <w:b w:val="0"/>
          <w:i w:val="0"/>
          <w:color w:val="555555"/>
        </w:rPr>
        <w:t>2012 – 2017</w:t>
      </w:r>
    </w:p>
    <w:p>
      <w:pPr>
        <w:pStyle w:val="EntryMeta"/>
      </w:pPr>
      <w:r>
        <w:t>Centre for Linguistics, Northern Capital University</w:t>
      </w:r>
    </w:p>
    <w:p>
      <w:pPr>
        <w:pStyle w:val="BodyText"/>
      </w:pPr>
      <w:r>
        <w:t>Thesis: A grammar of Lepcha-Kirati contact varieties</w:t>
      </w:r>
    </w:p>
    <w:p>
      <w:pPr>
        <w:pStyle w:val="EntryTitle"/>
        <w:tabs>
          <w:tab w:pos="9524" w:val="right"/>
        </w:tabs>
      </w:pPr>
      <w:r>
        <w:t>M.A., Linguistics</w:t>
      </w:r>
      <w:r>
        <w:tab/>
      </w:r>
      <w:r>
        <w:rPr>
          <w:b w:val="0"/>
          <w:i w:val="0"/>
          <w:color w:val="555555"/>
        </w:rPr>
        <w:t>2010 – 2012</w:t>
      </w:r>
    </w:p>
    <w:p>
      <w:pPr>
        <w:pStyle w:val="EntryMeta"/>
      </w:pPr>
      <w:r>
        <w:t>Northern Capital University</w:t>
      </w:r>
    </w:p>
    <w:p>
      <w:pPr>
        <w:pStyle w:val="EntryTitle"/>
        <w:tabs>
          <w:tab w:pos="9524" w:val="right"/>
        </w:tabs>
      </w:pPr>
      <w:r>
        <w:t>B.A., English</w:t>
      </w:r>
      <w:r>
        <w:tab/>
      </w:r>
      <w:r>
        <w:rPr>
          <w:b w:val="0"/>
          <w:i w:val="0"/>
          <w:color w:val="555555"/>
        </w:rPr>
        <w:t>2007 – 2010</w:t>
      </w:r>
    </w:p>
    <w:p>
      <w:pPr>
        <w:pStyle w:val="EntryMeta"/>
      </w:pPr>
      <w:r>
        <w:t>Himalayan Hills College, Darjeeling</w:t>
      </w:r>
    </w:p>
    <w:p>
      <w:pPr>
        <w:pStyle w:val="SectionHeading"/>
        <w:pBdr>
          <w:bottom w:val="double" w:sz="6" w:space="2" w:color="0C4A6E"/>
        </w:pBdr>
      </w:pPr>
      <w:r>
        <w:t>Research Experience</w:t>
      </w:r>
    </w:p>
    <w:p>
      <w:pPr>
        <w:pStyle w:val="EntryTitle"/>
        <w:tabs>
          <w:tab w:pos="9524" w:val="right"/>
        </w:tabs>
      </w:pPr>
      <w:r>
        <w:t>Assistant Professor</w:t>
      </w:r>
      <w:r>
        <w:tab/>
      </w:r>
      <w:r>
        <w:rPr>
          <w:b w:val="0"/>
          <w:i w:val="0"/>
          <w:color w:val="555555"/>
        </w:rPr>
        <w:t>2018 – Present</w:t>
      </w:r>
    </w:p>
    <w:p>
      <w:pPr>
        <w:pStyle w:val="EntryMeta"/>
      </w:pPr>
      <w:r>
        <w:t>Department of Linguistics, Kanchenjunga University</w:t>
      </w:r>
    </w:p>
    <w:p>
      <w:pPr>
        <w:pStyle w:val="ResumeBullet"/>
      </w:pPr>
      <w:r>
        <w:t>Lead a documentation project on 4 endangered languages; 600 hours of annotated recordings archived.</w:t>
      </w:r>
    </w:p>
    <w:p>
      <w:pPr>
        <w:pStyle w:val="ResumeBullet"/>
      </w:pPr>
      <w:r>
        <w:t>Built an open online dictionary with 9,000 entries, co-edited by community members.</w:t>
      </w:r>
    </w:p>
    <w:p>
      <w:pPr>
        <w:pStyle w:val="EntryTitle"/>
        <w:tabs>
          <w:tab w:pos="9524" w:val="right"/>
        </w:tabs>
      </w:pPr>
      <w:r>
        <w:t>Documentation Fellow</w:t>
      </w:r>
      <w:r>
        <w:tab/>
      </w:r>
      <w:r>
        <w:rPr>
          <w:b w:val="0"/>
          <w:i w:val="0"/>
          <w:color w:val="555555"/>
        </w:rPr>
        <w:t>2017 – 2018</w:t>
      </w:r>
    </w:p>
    <w:p>
      <w:pPr>
        <w:pStyle w:val="EntryMeta"/>
      </w:pPr>
      <w:r>
        <w:t>Endangered Languages Programme (international foundation)</w:t>
      </w:r>
    </w:p>
    <w:p>
      <w:pPr>
        <w:pStyle w:val="ResumeBullet"/>
      </w:pPr>
      <w:r>
        <w:t>Trained 12 community researchers in recording and transcription.</w:t>
      </w:r>
    </w:p>
    <w:p>
      <w:pPr>
        <w:pStyle w:val="SectionHeading"/>
        <w:pBdr>
          <w:bottom w:val="double" w:sz="6" w:space="2" w:color="0C4A6E"/>
        </w:pBdr>
      </w:pPr>
      <w:r>
        <w:t>Publications</w:t>
      </w:r>
    </w:p>
    <w:p>
      <w:pPr>
        <w:pStyle w:val="Citation"/>
      </w:pPr>
      <w:r/>
      <w:r>
        <w:rPr>
          <w:b/>
          <w:bCs/>
        </w:rPr>
        <w:t>Lhamo, T.</w:t>
      </w:r>
      <w:r>
        <w:t>, Kim, J., Okafor, D., &amp; Gupta, R.</w:t>
      </w:r>
      <w:r>
        <w:t xml:space="preserve"> (2026). Rethinking prosody in Bengali questions. </w:t>
      </w:r>
      <w:r>
        <w:rPr>
          <w:i/>
        </w:rPr>
        <w:t>Studies in Phonology and Morphology</w:t>
      </w:r>
      <w:r>
        <w:t>, 29(1), 790–810.</w:t>
      </w:r>
    </w:p>
    <w:p>
      <w:pPr>
        <w:pStyle w:val="Citation"/>
      </w:pPr>
      <w:r>
        <w:t xml:space="preserve">Sato, Y., Mensah, K., </w:t>
      </w:r>
      <w:r>
        <w:rPr>
          <w:b/>
          <w:bCs/>
        </w:rPr>
        <w:t>Lhamo, T.</w:t>
      </w:r>
      <w:r>
        <w:t>, &amp; Menon, V.</w:t>
      </w:r>
      <w:r>
        <w:t xml:space="preserve"> (2026). Revisiting code-mixing in Hinglish speech. </w:t>
      </w:r>
      <w:r>
        <w:rPr>
          <w:i/>
        </w:rPr>
        <w:t>Journal of South Asian Linguistics</w:t>
      </w:r>
      <w:r>
        <w:t>, 35(12), 602–620.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Lhamo, T.</w:t>
      </w:r>
      <w:r/>
      <w:r>
        <w:t xml:space="preserve"> (2026). Measuring code-mixing in Hinglish speech. </w:t>
      </w:r>
      <w:r>
        <w:rPr>
          <w:i/>
        </w:rPr>
        <w:t>Studies in Phonology and Morphology</w:t>
      </w:r>
      <w:r>
        <w:t>, 32(7), 225–239.</w:t>
      </w:r>
    </w:p>
    <w:p>
      <w:pPr>
        <w:pStyle w:val="Citation"/>
      </w:pPr>
      <w:r/>
      <w:r>
        <w:rPr>
          <w:b/>
          <w:bCs/>
        </w:rPr>
        <w:t>Lhamo, T.</w:t>
      </w:r>
      <w:r>
        <w:t>, Banerjee, P., Chen, L., &amp; Menon, V.</w:t>
      </w:r>
      <w:r>
        <w:t xml:space="preserve"> (2025). Revisiting documentation of endangered tribal languages. </w:t>
      </w:r>
      <w:r>
        <w:rPr>
          <w:i/>
        </w:rPr>
        <w:t>Proceedings of the Workshop on Indian Language Computing</w:t>
      </w:r>
      <w:r>
        <w:t>, pp. 144–157.</w:t>
      </w:r>
    </w:p>
    <w:p>
      <w:pPr>
        <w:pStyle w:val="Citation"/>
      </w:pPr>
      <w:r>
        <w:t xml:space="preserve">Gupta, R., </w:t>
      </w:r>
      <w:r>
        <w:rPr>
          <w:b/>
          <w:bCs/>
        </w:rPr>
        <w:t>Lhamo, T.</w:t>
      </w:r>
      <w:r>
        <w:t>, Sato, Y., &amp; Kim, J.</w:t>
      </w:r>
      <w:r>
        <w:t xml:space="preserve"> (2025). Scaling morphological parsing for Dravidian languages. </w:t>
      </w:r>
      <w:r>
        <w:rPr>
          <w:i/>
        </w:rPr>
        <w:t>Studies in Phonology and Morphology</w:t>
      </w:r>
      <w:r>
        <w:t>, 10(9), 722–733.</w:t>
      </w:r>
    </w:p>
    <w:p>
      <w:pPr>
        <w:pStyle w:val="Citation"/>
      </w:pPr>
      <w:r>
        <w:t xml:space="preserve">Menon, V., Iyer, M., Rao, S., &amp; </w:t>
      </w:r>
      <w:r>
        <w:rPr>
          <w:b/>
          <w:bCs/>
        </w:rPr>
        <w:t>Lhamo, T.</w:t>
      </w:r>
      <w:r/>
      <w:r>
        <w:t xml:space="preserve"> (2025). Revisiting tone in Tibeto-Burman languages. </w:t>
      </w:r>
      <w:r>
        <w:rPr>
          <w:i/>
        </w:rPr>
        <w:t>Language Documentation Quarterly</w:t>
      </w:r>
      <w:r>
        <w:t>, 22(8), 83–101.</w:t>
      </w:r>
    </w:p>
    <w:p>
      <w:pPr>
        <w:pStyle w:val="Citation"/>
      </w:pPr>
      <w:r>
        <w:t xml:space="preserve">Haddad, N., &amp; </w:t>
      </w:r>
      <w:r>
        <w:rPr>
          <w:b/>
          <w:bCs/>
        </w:rPr>
        <w:t>Lhamo, T.</w:t>
      </w:r>
      <w:r/>
      <w:r>
        <w:t xml:space="preserve"> (2024). Towards tone in Tibeto-Burman languages. </w:t>
      </w:r>
      <w:r>
        <w:rPr>
          <w:i/>
        </w:rPr>
        <w:t>Proceedings of the Workshop on Indian Language Computing</w:t>
      </w:r>
      <w:r>
        <w:t>, pp. 577–590.</w:t>
      </w:r>
    </w:p>
    <w:p>
      <w:pPr>
        <w:pStyle w:val="Citation"/>
      </w:pPr>
      <w:r>
        <w:t xml:space="preserve">Iyer, M., </w:t>
      </w:r>
      <w:r>
        <w:rPr>
          <w:b/>
          <w:bCs/>
        </w:rPr>
        <w:t>Lhamo, T.</w:t>
      </w:r>
      <w:r>
        <w:t>, &amp; Okafor, D.</w:t>
      </w:r>
      <w:r>
        <w:t xml:space="preserve"> (2024). Evidence on documentation of endangered tribal languages. </w:t>
      </w:r>
      <w:r>
        <w:rPr>
          <w:i/>
        </w:rPr>
        <w:t>Language Documentation Quarterly</w:t>
      </w:r>
      <w:r>
        <w:t>, 42(10), 353–370.</w:t>
      </w:r>
    </w:p>
    <w:p>
      <w:pPr>
        <w:pStyle w:val="Citation"/>
      </w:pPr>
      <w:r/>
      <w:r>
        <w:rPr>
          <w:b/>
          <w:bCs/>
        </w:rPr>
        <w:t>Lhamo, T.</w:t>
      </w:r>
      <w:r>
        <w:t>, Sato, Y., Iyer, M., &amp; Menon, V.</w:t>
      </w:r>
      <w:r>
        <w:t xml:space="preserve"> (2024). Measuring child language acquisition in multilingual homes. </w:t>
      </w:r>
      <w:r>
        <w:rPr>
          <w:i/>
        </w:rPr>
        <w:t>Proceedings of the Workshop on Indian Language Computing</w:t>
      </w:r>
      <w:r>
        <w:t>, pp. 519–529.</w:t>
      </w:r>
    </w:p>
    <w:p>
      <w:pPr>
        <w:pStyle w:val="Citation"/>
      </w:pPr>
      <w:r>
        <w:t xml:space="preserve">Menon, V., </w:t>
      </w:r>
      <w:r>
        <w:rPr>
          <w:b/>
          <w:bCs/>
        </w:rPr>
        <w:t>Lhamo, T.</w:t>
      </w:r>
      <w:r>
        <w:t>, Haddad, N., &amp; Mensah, K.</w:t>
      </w:r>
      <w:r>
        <w:t xml:space="preserve"> (2023). Designing for code-mixing in Hinglish speech. </w:t>
      </w:r>
      <w:r>
        <w:rPr>
          <w:i/>
        </w:rPr>
        <w:t>Proceedings of the Workshop on Indian Language Computing</w:t>
      </w:r>
      <w:r>
        <w:t>, pp. 732–740.</w:t>
      </w:r>
    </w:p>
    <w:p>
      <w:pPr>
        <w:pStyle w:val="Citation"/>
      </w:pPr>
      <w:r>
        <w:t xml:space="preserve">Gupta, R., </w:t>
      </w:r>
      <w:r>
        <w:rPr>
          <w:b/>
          <w:bCs/>
        </w:rPr>
        <w:t>Lhamo, T.</w:t>
      </w:r>
      <w:r>
        <w:t>, &amp; Chen, L.</w:t>
      </w:r>
      <w:r>
        <w:t xml:space="preserve"> (2023). Rethinking code-mixing in Hinglish speech. </w:t>
      </w:r>
      <w:r>
        <w:rPr>
          <w:i/>
        </w:rPr>
        <w:t>Studies in Phonology and Morphology</w:t>
      </w:r>
      <w:r>
        <w:t>, 40(3), 263–274.</w:t>
      </w:r>
    </w:p>
    <w:p>
      <w:pPr>
        <w:pStyle w:val="Citation"/>
      </w:pPr>
      <w:r>
        <w:t xml:space="preserve">Banerjee, P., Sato, Y., Rao, S., &amp; </w:t>
      </w:r>
      <w:r>
        <w:rPr>
          <w:b/>
          <w:bCs/>
        </w:rPr>
        <w:t>Lhamo, T.</w:t>
      </w:r>
      <w:r/>
      <w:r>
        <w:t xml:space="preserve"> (2023). Measuring documentation of endangered tribal languages. </w:t>
      </w:r>
      <w:r>
        <w:rPr>
          <w:i/>
        </w:rPr>
        <w:t>Studies in Phonology and Morphology</w:t>
      </w:r>
      <w:r>
        <w:t>, 46(12), 651–662.</w:t>
      </w:r>
    </w:p>
    <w:p>
      <w:pPr>
        <w:pStyle w:val="SectionHeading"/>
        <w:pBdr>
          <w:bottom w:val="double" w:sz="6" w:space="2" w:color="0C4A6E"/>
        </w:pBdr>
      </w:pPr>
      <w:r>
        <w:t>Books</w:t>
      </w:r>
    </w:p>
    <w:p>
      <w:pPr>
        <w:pStyle w:val="Citation"/>
      </w:pPr>
      <w:r>
        <w:t>Lhamo, T. (2021). A Grammar of Lepcha-Kirati Contact Varieties. Gangtok: Mountain Echo Press.</w:t>
      </w:r>
    </w:p>
    <w:p>
      <w:pPr>
        <w:pStyle w:val="Citation"/>
      </w:pPr>
      <w:r>
        <w:t>Lhamo, T., &amp; Rai, D. (eds.) (2024). Voices of the Eastern Himalaya: A Reader. New Delhi: Lotus Leaf Press.</w:t>
      </w:r>
    </w:p>
    <w:p>
      <w:pPr>
        <w:pStyle w:val="SectionHeading"/>
        <w:pBdr>
          <w:bottom w:val="double" w:sz="6" w:space="2" w:color="0C4A6E"/>
        </w:pBdr>
      </w:pPr>
      <w:r>
        <w:t>Conference Presentations &amp; Invited Talks</w:t>
      </w:r>
    </w:p>
    <w:p>
      <w:pPr>
        <w:pStyle w:val="ResumeBullet"/>
      </w:pPr>
      <w:r>
        <w:t>Seminar: “Revisiting prosody in Bengali questions”, Studies in Phonology and Morphology, Melbourne, 2026.</w:t>
      </w:r>
    </w:p>
    <w:p>
      <w:pPr>
        <w:pStyle w:val="ResumeBullet"/>
      </w:pPr>
      <w:r>
        <w:t>Seminar: “Evidence on child language acquisition in multilingual homes”, Language Documentation Quarterly, London, 2026.</w:t>
      </w:r>
    </w:p>
    <w:p>
      <w:pPr>
        <w:pStyle w:val="ResumeBullet"/>
      </w:pPr>
      <w:r>
        <w:t>Keynote: “Evidence on code-mixing in Hinglish speech”, Symposium on South Asian Linguistics, Melbourne, 2025.</w:t>
      </w:r>
    </w:p>
    <w:p>
      <w:pPr>
        <w:pStyle w:val="ResumeBullet"/>
      </w:pPr>
      <w:r>
        <w:t>Poster: “Rethinking morphological parsing for Dravidian languages”, Language Documentation Quarterly, New Delhi, 2025.</w:t>
      </w:r>
    </w:p>
    <w:p>
      <w:pPr>
        <w:pStyle w:val="ResumeBullet"/>
      </w:pPr>
      <w:r>
        <w:t>Seminar: “A study of tone in Tibeto-Burman languages”, Symposium on South Asian Linguistics, London, 2024.</w:t>
      </w:r>
    </w:p>
    <w:p>
      <w:pPr>
        <w:pStyle w:val="ResumeBullet"/>
      </w:pPr>
      <w:r>
        <w:t>Seminar: “Designing for child language acquisition in multilingual homes”, Symposium on South Asian Linguistics, London, 2024.</w:t>
      </w:r>
    </w:p>
    <w:p>
      <w:pPr>
        <w:pStyle w:val="ResumeBullet"/>
      </w:pPr>
      <w:r>
        <w:t>Seminar: “Designing for prosody in Bengali questions”, Language Documentation Quarterly, Singapore, 2023.</w:t>
      </w:r>
    </w:p>
    <w:p>
      <w:pPr>
        <w:pStyle w:val="ResumeBullet"/>
      </w:pPr>
      <w:r>
        <w:t>Seminar: “Scaling code-mixing in Hinglish speech”, Language Documentation Quarterly, Bengaluru, 2023.</w:t>
      </w:r>
    </w:p>
    <w:p>
      <w:pPr>
        <w:pStyle w:val="SectionHeading"/>
        <w:pBdr>
          <w:bottom w:val="double" w:sz="6" w:space="2" w:color="0C4A6E"/>
        </w:pBdr>
      </w:pPr>
      <w:r>
        <w:t>Teaching</w:t>
      </w:r>
    </w:p>
    <w:p>
      <w:pPr>
        <w:pStyle w:val="ResumeBullet"/>
      </w:pPr>
      <w:r>
        <w:t>Phonetics and Phonology</w:t>
      </w:r>
    </w:p>
    <w:p>
      <w:pPr>
        <w:pStyle w:val="ResumeBullet"/>
      </w:pPr>
      <w:r>
        <w:t>Field Methods in Linguistics</w:t>
      </w:r>
    </w:p>
    <w:p>
      <w:pPr>
        <w:pStyle w:val="ResumeBullet"/>
      </w:pPr>
      <w:r>
        <w:t>Language and Society in Northeast India</w:t>
      </w:r>
    </w:p>
    <w:p>
      <w:pPr>
        <w:pStyle w:val="SectionHeading"/>
        <w:pBdr>
          <w:bottom w:val="double" w:sz="6" w:space="2" w:color="0C4A6E"/>
        </w:pBdr>
      </w:pPr>
      <w:r>
        <w:t>Grants, Awards &amp; Honours</w:t>
      </w:r>
    </w:p>
    <w:p>
      <w:pPr>
        <w:pStyle w:val="ResumeBullet"/>
      </w:pPr>
      <w:r>
        <w:t>Documentation grant, international endangered-languages foundation (2019–2023), USD 120,000</w:t>
      </w:r>
    </w:p>
    <w:p>
      <w:pPr>
        <w:pStyle w:val="ResumeBullet"/>
      </w:pPr>
      <w:r>
        <w:t>National award for contribution to tribal languages (2023)</w:t>
      </w:r>
    </w:p>
    <w:p>
      <w:pPr>
        <w:pStyle w:val="SectionHeading"/>
        <w:pBdr>
          <w:bottom w:val="double" w:sz="6" w:space="2" w:color="0C4A6E"/>
        </w:pBdr>
      </w:pPr>
      <w:r>
        <w:t>Professional Service</w:t>
      </w:r>
    </w:p>
    <w:p>
      <w:pPr>
        <w:pStyle w:val="ResumeBullet"/>
      </w:pPr>
      <w:r>
        <w:t>Advisor, state language commission (2021–present)</w:t>
      </w:r>
    </w:p>
    <w:p>
      <w:pPr>
        <w:pStyle w:val="ResumeBullet"/>
      </w:pPr>
      <w:r>
        <w:t>Reviewer, Language Documentation Quarterly</w:t>
      </w:r>
    </w:p>
    <w:p>
      <w:pPr>
        <w:pStyle w:val="SectionHeading"/>
        <w:pBdr>
          <w:bottom w:val="double" w:sz="6" w:space="2" w:color="0C4A6E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Fieldwork: </w:t>
      </w:r>
      <w:r>
        <w:t>ELAN, Praat, FLEx, audio-video recording, community training</w:t>
      </w:r>
    </w:p>
    <w:p>
      <w:pPr>
        <w:pStyle w:val="BodyText"/>
      </w:pPr>
      <w:r>
        <w:rPr>
          <w:b/>
          <w:bCs/>
        </w:rPr>
        <w:t xml:space="preserve">Computing: </w:t>
      </w:r>
      <w:r>
        <w:t>Python, speech corpus preparation</w:t>
      </w:r>
    </w:p>
    <w:p>
      <w:pPr>
        <w:pStyle w:val="BodyText"/>
      </w:pPr>
      <w:r>
        <w:rPr>
          <w:b/>
          <w:bCs/>
        </w:rPr>
        <w:t xml:space="preserve">Languages: </w:t>
      </w:r>
      <w:r>
        <w:t>Lepcha, Nepali, Hindi, English, Tibetan (reading)</w:t>
      </w:r>
    </w:p>
    <w:p>
      <w:pPr>
        <w:pStyle w:val="SectionHeading"/>
        <w:pBdr>
          <w:bottom w:val="double" w:sz="6" w:space="2" w:color="0C4A6E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Prof. A. Sen</w:t>
      </w:r>
    </w:p>
    <w:p>
      <w:pPr>
        <w:pStyle w:val="BodyText"/>
        <w:keepNext/>
        <w:spacing w:after="0"/>
      </w:pPr>
      <w:r>
        <w:t>Professor of Linguistics, Northern Capital University</w:t>
      </w:r>
    </w:p>
    <w:p>
      <w:pPr>
        <w:pStyle w:val="BodyText"/>
        <w:spacing w:after="100"/>
      </w:pPr>
      <w:r>
        <w:t>a.sen@university.edu</w:t>
      </w:r>
    </w:p>
    <w:p>
      <w:pPr>
        <w:pStyle w:val="BodyText"/>
        <w:keepNext/>
        <w:spacing w:after="0"/>
      </w:pPr>
      <w:r>
        <w:rPr>
          <w:b/>
          <w:bCs/>
        </w:rPr>
        <w:t>Dr. M. Okoye</w:t>
      </w:r>
    </w:p>
    <w:p>
      <w:pPr>
        <w:pStyle w:val="BodyText"/>
        <w:keepNext/>
        <w:spacing w:after="0"/>
      </w:pPr>
      <w:r>
        <w:t>Programme Director, international endangered-languages foundation</w:t>
      </w:r>
    </w:p>
    <w:p>
      <w:pPr>
        <w:pStyle w:val="BodyText"/>
        <w:spacing w:after="100"/>
      </w:pPr>
      <w:r>
        <w:t>m.okoye@foundation.example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1191" w:bottom="1020" w:left="1191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unito" w:hAnsi="Nunito" w:eastAsia="Nunito" w:cs="Nunito"/>
        <w:color w:val="888888"/>
        <w:sz w:val="16"/>
        <w:szCs w:val="16"/>
      </w:rPr>
      <w:t xml:space="preserve">Page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PAGE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  <w:r>
      <w:rPr>
        <w:rFonts w:ascii="Nunito" w:hAnsi="Nunito" w:eastAsia="Nunito" w:cs="Nunito"/>
        <w:color w:val="888888"/>
        <w:sz w:val="16"/>
        <w:szCs w:val="16"/>
      </w:rPr>
      <w:t xml:space="preserve"> of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NUMPAGES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unito" w:hAnsi="Nunito" w:eastAsia="Nunito" w:cs="Nunito"/>
        <w:color w:val="888888"/>
        <w:sz w:val="16"/>
        <w:szCs w:val="16"/>
      </w:rPr>
      <w:t xml:space="preserve">Page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PAGE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  <w:r>
      <w:rPr>
        <w:rFonts w:ascii="Nunito" w:hAnsi="Nunito" w:eastAsia="Nunito" w:cs="Nunito"/>
        <w:color w:val="888888"/>
        <w:sz w:val="16"/>
        <w:szCs w:val="16"/>
      </w:rPr>
      <w:t xml:space="preserve"> of </w:t>
    </w:r>
    <w:r>
      <w:rPr>
        <w:rFonts w:ascii="Nunito" w:hAnsi="Nunito" w:eastAsia="Nunito" w:cs="Nunito"/>
        <w:color w:val="888888"/>
        <w:sz w:val="16"/>
        <w:szCs w:val="16"/>
      </w:rPr>
      <w:fldChar w:fldCharType="begin"/>
    </w:r>
    <w:r>
      <w:rPr>
        <w:rFonts w:ascii="Nunito" w:hAnsi="Nunito" w:eastAsia="Nunito" w:cs="Nunito"/>
        <w:color w:val="888888"/>
        <w:sz w:val="16"/>
        <w:szCs w:val="16"/>
      </w:rPr>
      <w:instrText xml:space="preserve"> NUMPAGES </w:instrText>
    </w:r>
    <w:r>
      <w:rPr>
        <w:rFonts w:ascii="Nunito" w:hAnsi="Nunito" w:eastAsia="Nunito" w:cs="Nunito"/>
        <w:color w:val="888888"/>
        <w:sz w:val="16"/>
        <w:szCs w:val="16"/>
      </w:rPr>
      <w:fldChar w:fldCharType="separate"/>
    </w:r>
    <w:r>
      <w:rPr>
        <w:rFonts w:ascii="Nunito" w:hAnsi="Nunito" w:eastAsia="Nunito" w:cs="Nunito"/>
        <w:color w:val="888888"/>
        <w:sz w:val="16"/>
        <w:szCs w:val="16"/>
      </w:rPr>
      <w:t>1</w:t>
    </w:r>
    <w:r>
      <w:rPr>
        <w:rFonts w:ascii="Nunito" w:hAnsi="Nunito" w:eastAsia="Nunito" w:cs="Nunit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524" w:val="right"/>
      </w:tabs>
      <w:jc w:val="left"/>
    </w:pPr>
    <w:r>
      <w:rPr>
        <w:color w:val="777777"/>
        <w:sz w:val="17"/>
        <w:szCs w:val="17"/>
      </w:rPr>
      <w:t>Dr. Tenzing Lhamo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83" w:hanging="227"/>
      </w:pPr>
      <w:rPr>
        <w:rFonts w:ascii="Arial" w:hAnsi="Arial" w:cs="Arial" w:hint="default"/>
        <w:color w:val="0C4A6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unito" w:hAnsi="Nunito" w:eastAsia="Nunito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Nunito" w:hAnsi="Nunito" w:eastAsia="Nunito" w:cs="Mukta"/>
      <w:color w:val="1E1E1E"/>
      <w:sz w:val="19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Lora" w:hAnsi="Lora" w:eastAsia="Lora" w:cs="Mukta"/>
      <w:b/>
      <w:bCs/>
      <w:i w:val="0"/>
      <w:caps w:val="0"/>
      <w:smallCaps w:val="0"/>
      <w:color w:val="1E1E1E"/>
      <w:sz w:val="48"/>
      <w:szCs w:val="48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Nunito" w:hAnsi="Nunito" w:eastAsia="Nunito" w:cs="Mukta"/>
      <w:b w:val="0"/>
      <w:i w:val="0"/>
      <w:caps w:val="0"/>
      <w:smallCaps w:val="0"/>
      <w:color w:val="1E1E1E"/>
      <w:sz w:val="21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Nunito" w:hAnsi="Nunito" w:eastAsia="Nunito" w:cs="Mukta"/>
      <w:b w:val="0"/>
      <w:i w:val="0"/>
      <w:caps w:val="0"/>
      <w:smallCaps w:val="0"/>
      <w:color w:val="555555"/>
      <w:sz w:val="17"/>
      <w:szCs w:val="18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Lora" w:hAnsi="Lora" w:eastAsia="Lora" w:cs="Mukta"/>
      <w:b/>
      <w:bCs/>
      <w:i w:val="0"/>
      <w:caps/>
      <w:smallCaps w:val="0"/>
      <w:color w:val="0C4A6E"/>
      <w:spacing w:val="28"/>
      <w:sz w:val="22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Nunito" w:hAnsi="Nunito" w:eastAsia="Nunito" w:cs="Mukta"/>
      <w:b/>
      <w:bCs/>
      <w:i w:val="0"/>
      <w:caps w:val="0"/>
      <w:smallCaps w:val="0"/>
      <w:color w:val="1E1E1E"/>
      <w:sz w:val="19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Nunito" w:hAnsi="Nunito" w:eastAsia="Nunito" w:cs="Mukta"/>
      <w:b w:val="0"/>
      <w:i/>
      <w:caps w:val="0"/>
      <w:smallCaps w:val="0"/>
      <w:color w:val="444444"/>
      <w:sz w:val="19"/>
      <w:szCs w:val="20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Nunito" w:hAnsi="Nunito" w:eastAsia="Nunito" w:cs="Mukta"/>
      <w:b w:val="0"/>
      <w:i w:val="0"/>
      <w:caps w:val="0"/>
      <w:smallCaps w:val="0"/>
      <w:color w:val="1E1E1E"/>
      <w:sz w:val="18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Nunito" w:hAnsi="Nunito" w:eastAsia="Nunito" w:cs="Mukta"/>
      <w:b w:val="0"/>
      <w:i w:val="0"/>
      <w:caps w:val="0"/>
      <w:smallCaps w:val="0"/>
      <w:color w:val="1E1E1E"/>
      <w:sz w:val="19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Tinted Header · Double Rules — Linguist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