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Dr. Kabir Sethi</w:t>
      </w:r>
    </w:p>
    <w:p>
      <w:pPr>
        <w:pStyle w:val="Role"/>
        <w:tabs>
          <w:tab w:pos="9638" w:val="right"/>
        </w:tabs>
      </w:pPr>
      <w:r>
        <w:t>Associate Professor of Law</w:t>
      </w:r>
      <w:r>
        <w:tab/>
      </w:r>
      <w:r>
        <w:rPr>
          <w:i w:val="0"/>
          <w:color w:val="555555"/>
          <w:sz w:val="19"/>
          <w:szCs w:val="19"/>
        </w:rPr>
        <w:t>kabir.sethi@lawschool.edu</w:t>
      </w:r>
    </w:p>
    <w:p>
      <w:pPr>
        <w:pStyle w:val="Contact"/>
        <w:pBdr>
          <w:bottom w:val="single" w:sz="12" w:space="6" w:color="7F1D1D"/>
        </w:pBdr>
        <w:tabs>
          <w:tab w:pos="9638" w:val="right"/>
        </w:tabs>
      </w:pPr>
      <w:r>
        <w:t>New Delhi, India</w:t>
      </w:r>
      <w:r>
        <w:tab/>
      </w:r>
      <w:r>
        <w:t>+91 98110 37264   ·   kabirsethi.law</w:t>
      </w:r>
    </w:p>
    <w:p>
      <w:pPr>
        <w:pStyle w:val="SectionHeading"/>
        <w:shd w:val="clear" w:color="auto" w:fill="F1F5F9"/>
        <w:ind w:left="85"/>
      </w:pPr>
      <w:r>
        <w:t>Education</w:t>
      </w:r>
    </w:p>
    <w:p>
      <w:pPr>
        <w:pStyle w:val="EntryTitle"/>
        <w:tabs>
          <w:tab w:pos="9638" w:val="right"/>
        </w:tabs>
      </w:pPr>
      <w:r>
        <w:t>Ph.D. (Law)</w:t>
      </w:r>
      <w:r>
        <w:tab/>
      </w:r>
      <w:r>
        <w:rPr>
          <w:b w:val="0"/>
          <w:i w:val="0"/>
          <w:color w:val="555555"/>
        </w:rPr>
        <w:t>2014 – 2018</w:t>
      </w:r>
    </w:p>
    <w:p>
      <w:pPr>
        <w:pStyle w:val="EntryMeta"/>
      </w:pPr>
      <w:r>
        <w:t>National Law University of the North</w:t>
      </w:r>
    </w:p>
    <w:p>
      <w:pPr>
        <w:pStyle w:val="BodyText"/>
      </w:pPr>
      <w:r>
        <w:t>Thesis: Consent and the constitutional right to privacy</w:t>
      </w:r>
    </w:p>
    <w:p>
      <w:pPr>
        <w:pStyle w:val="EntryTitle"/>
        <w:tabs>
          <w:tab w:pos="9638" w:val="right"/>
        </w:tabs>
      </w:pPr>
      <w:r>
        <w:t>LL.M., Technology Law</w:t>
      </w:r>
      <w:r>
        <w:tab/>
      </w:r>
      <w:r>
        <w:rPr>
          <w:b w:val="0"/>
          <w:i w:val="0"/>
          <w:color w:val="555555"/>
        </w:rPr>
        <w:t>2012 – 2013</w:t>
      </w:r>
    </w:p>
    <w:p>
      <w:pPr>
        <w:pStyle w:val="EntryMeta"/>
      </w:pPr>
      <w:r>
        <w:t>Thames Graduate School of Law</w:t>
      </w:r>
    </w:p>
    <w:p>
      <w:pPr>
        <w:pStyle w:val="BodyText"/>
      </w:pPr>
      <w:r>
        <w:t>Distinction</w:t>
      </w:r>
    </w:p>
    <w:p>
      <w:pPr>
        <w:pStyle w:val="EntryTitle"/>
        <w:tabs>
          <w:tab w:pos="9638" w:val="right"/>
        </w:tabs>
      </w:pPr>
      <w:r>
        <w:t>B.A. LL.B. (Hons.)</w:t>
      </w:r>
      <w:r>
        <w:tab/>
      </w:r>
      <w:r>
        <w:rPr>
          <w:b w:val="0"/>
          <w:i w:val="0"/>
          <w:color w:val="555555"/>
        </w:rPr>
        <w:t>2007 – 2012</w:t>
      </w:r>
    </w:p>
    <w:p>
      <w:pPr>
        <w:pStyle w:val="EntryMeta"/>
      </w:pPr>
      <w:r>
        <w:t>National Law School, Deccan</w:t>
      </w:r>
    </w:p>
    <w:p>
      <w:pPr>
        <w:pStyle w:val="BodyText"/>
      </w:pPr>
      <w:r>
        <w:t>Gold Medal in Constitutional Law</w:t>
      </w:r>
    </w:p>
    <w:p>
      <w:pPr>
        <w:pStyle w:val="SectionHeading"/>
        <w:shd w:val="clear" w:color="auto" w:fill="F1F5F9"/>
        <w:ind w:left="85"/>
      </w:pPr>
      <w:r>
        <w:t>Academic &amp; Professional Experience</w:t>
      </w:r>
    </w:p>
    <w:p>
      <w:pPr>
        <w:pStyle w:val="EntryTitle"/>
        <w:tabs>
          <w:tab w:pos="9638" w:val="right"/>
        </w:tabs>
      </w:pPr>
      <w:r>
        <w:t>Associate Professor &amp; Director, Centre for Technology Law</w:t>
      </w:r>
      <w:r>
        <w:tab/>
      </w:r>
      <w:r>
        <w:rPr>
          <w:b w:val="0"/>
          <w:i w:val="0"/>
          <w:color w:val="555555"/>
        </w:rPr>
        <w:t>2020 – Present</w:t>
      </w:r>
    </w:p>
    <w:p>
      <w:pPr>
        <w:pStyle w:val="EntryMeta"/>
      </w:pPr>
      <w:r>
        <w:t>Capital School of Law</w:t>
      </w:r>
    </w:p>
    <w:p>
      <w:pPr>
        <w:pStyle w:val="ResumeBullet"/>
      </w:pPr>
      <w:r>
        <w:t>Lead a centre with 6 researchers producing policy briefs on data protection and AI regulation.</w:t>
      </w:r>
    </w:p>
    <w:p>
      <w:pPr>
        <w:pStyle w:val="ResumeBullet"/>
      </w:pPr>
      <w:r>
        <w:t>Drafted submissions to two parliamentary committees on data protection.</w:t>
      </w:r>
    </w:p>
    <w:p>
      <w:pPr>
        <w:pStyle w:val="EntryTitle"/>
        <w:tabs>
          <w:tab w:pos="9638" w:val="right"/>
        </w:tabs>
      </w:pPr>
      <w:r>
        <w:t>Assistant Professor</w:t>
      </w:r>
      <w:r>
        <w:tab/>
      </w:r>
      <w:r>
        <w:rPr>
          <w:b w:val="0"/>
          <w:i w:val="0"/>
          <w:color w:val="555555"/>
        </w:rPr>
        <w:t>2016 – 2020</w:t>
      </w:r>
    </w:p>
    <w:p>
      <w:pPr>
        <w:pStyle w:val="EntryMeta"/>
      </w:pPr>
      <w:r>
        <w:t>Capital School of Law</w:t>
      </w:r>
    </w:p>
    <w:p>
      <w:pPr>
        <w:pStyle w:val="ResumeBullet"/>
      </w:pPr>
      <w:r>
        <w:t>Taught constitutional law to 300 students a year; coached moot teams to 3 national wins.</w:t>
      </w:r>
    </w:p>
    <w:p>
      <w:pPr>
        <w:pStyle w:val="EntryTitle"/>
        <w:tabs>
          <w:tab w:pos="9638" w:val="right"/>
        </w:tabs>
      </w:pPr>
      <w:r>
        <w:t>Advocate</w:t>
      </w:r>
      <w:r>
        <w:tab/>
      </w:r>
      <w:r>
        <w:rPr>
          <w:b w:val="0"/>
          <w:i w:val="0"/>
          <w:color w:val="555555"/>
        </w:rPr>
        <w:t>2013 – 2016</w:t>
      </w:r>
    </w:p>
    <w:p>
      <w:pPr>
        <w:pStyle w:val="EntryMeta"/>
      </w:pPr>
      <w:r>
        <w:t>High Court of Delhi (independent practice)</w:t>
      </w:r>
    </w:p>
    <w:p>
      <w:pPr>
        <w:pStyle w:val="ResumeBullet"/>
      </w:pPr>
      <w:r>
        <w:t>Constitutional and civil writs; pro bono matters for an RTI activists' network.</w:t>
      </w:r>
    </w:p>
    <w:p>
      <w:pPr>
        <w:pStyle w:val="SectionHeading"/>
        <w:shd w:val="clear" w:color="auto" w:fill="F1F5F9"/>
        <w:ind w:left="85"/>
      </w:pPr>
      <w:r>
        <w:t>Grants, Awards &amp; Honours</w:t>
      </w:r>
    </w:p>
    <w:p>
      <w:pPr>
        <w:pStyle w:val="ResumeBullet"/>
      </w:pPr>
      <w:r>
        <w:t>Research fellowship on AI regulation, international policy institute (2023)</w:t>
      </w:r>
    </w:p>
    <w:p>
      <w:pPr>
        <w:pStyle w:val="ResumeBullet"/>
      </w:pPr>
      <w:r>
        <w:t>Best Faculty Award, Capital School of Law (2022)</w:t>
      </w:r>
    </w:p>
    <w:p>
      <w:pPr>
        <w:pStyle w:val="SectionHeading"/>
        <w:shd w:val="clear" w:color="auto" w:fill="F1F5F9"/>
        <w:ind w:left="85"/>
      </w:pPr>
      <w:r>
        <w:t>Publications</w:t>
      </w:r>
    </w:p>
    <w:p>
      <w:pPr>
        <w:pStyle w:val="Citation"/>
      </w:pPr>
      <w:r>
        <w:rPr>
          <w:b/>
          <w:bCs/>
          <w:color w:val="7F1D1D"/>
        </w:rPr>
        <w:t xml:space="preserve">[1]  </w:t>
      </w:r>
      <w:r>
        <w:t xml:space="preserve">Fischer, A., Gupta, R., &amp; </w:t>
      </w:r>
      <w:r>
        <w:rPr>
          <w:b/>
          <w:bCs/>
        </w:rPr>
        <w:t>Sethi, K.</w:t>
      </w:r>
      <w:r/>
      <w:r>
        <w:t xml:space="preserve"> (2026). Designing for gender and inheritance law. </w:t>
      </w:r>
      <w:r>
        <w:rPr>
          <w:i/>
        </w:rPr>
        <w:t>Journal of Technology Law and Policy</w:t>
      </w:r>
      <w:r>
        <w:t>, 35(10), 253–269.</w:t>
      </w:r>
    </w:p>
    <w:p>
      <w:pPr>
        <w:pStyle w:val="Citation"/>
      </w:pPr>
      <w:r>
        <w:rPr>
          <w:b/>
          <w:bCs/>
          <w:color w:val="7F1D1D"/>
        </w:rPr>
        <w:t xml:space="preserve">[2]  </w:t>
      </w:r>
      <w:r>
        <w:t xml:space="preserve">Fischer, A., </w:t>
      </w:r>
      <w:r>
        <w:rPr>
          <w:b/>
          <w:bCs/>
        </w:rPr>
        <w:t>Sethi, K.</w:t>
      </w:r>
      <w:r>
        <w:t>, &amp; Rao, S.</w:t>
      </w:r>
      <w:r>
        <w:t xml:space="preserve"> (2026). Rethinking access to justice in district courts. </w:t>
      </w:r>
      <w:r>
        <w:rPr>
          <w:i/>
        </w:rPr>
        <w:t>Asian Review of Environmental Law</w:t>
      </w:r>
      <w:r>
        <w:t>, 45(10), 809–825.</w:t>
      </w:r>
    </w:p>
    <w:p>
      <w:pPr>
        <w:pStyle w:val="Citation"/>
      </w:pPr>
      <w:r>
        <w:rPr>
          <w:b/>
          <w:bCs/>
          <w:color w:val="7F1D1D"/>
        </w:rPr>
        <w:t xml:space="preserve">[3]  </w:t>
      </w:r>
      <w:r>
        <w:t xml:space="preserve">Iyer, M., Okafor, D., &amp; </w:t>
      </w:r>
      <w:r>
        <w:rPr>
          <w:b/>
          <w:bCs/>
        </w:rPr>
        <w:t>Sethi, K.</w:t>
      </w:r>
      <w:r/>
      <w:r>
        <w:t xml:space="preserve"> (2026). Measuring judicial review of tribunals. </w:t>
      </w:r>
      <w:r>
        <w:rPr>
          <w:i/>
        </w:rPr>
        <w:t>Indian Journal of Constitutional Law Studies</w:t>
      </w:r>
      <w:r>
        <w:t>, 14(5), 23–32.</w:t>
      </w:r>
    </w:p>
    <w:p>
      <w:pPr>
        <w:pStyle w:val="Citation"/>
      </w:pPr>
      <w:r>
        <w:rPr>
          <w:b/>
          <w:bCs/>
          <w:color w:val="7F1D1D"/>
        </w:rPr>
        <w:t xml:space="preserve">[4]  </w:t>
      </w:r>
      <w:r>
        <w:t xml:space="preserve">Okafor, D., </w:t>
      </w:r>
      <w:r>
        <w:rPr>
          <w:b/>
          <w:bCs/>
        </w:rPr>
        <w:t>Sethi, K.</w:t>
      </w:r>
      <w:r>
        <w:t>, &amp; Menon, V.</w:t>
      </w:r>
      <w:r>
        <w:t xml:space="preserve"> (2025). Understanding environmental public interest litigation. </w:t>
      </w:r>
      <w:r>
        <w:rPr>
          <w:i/>
        </w:rPr>
        <w:t>Journal of Technology Law and Policy</w:t>
      </w:r>
      <w:r>
        <w:t>, 39(6), 307–329.</w:t>
      </w:r>
    </w:p>
    <w:p>
      <w:pPr>
        <w:pStyle w:val="Citation"/>
      </w:pPr>
      <w:r>
        <w:rPr>
          <w:b/>
          <w:bCs/>
          <w:color w:val="7F1D1D"/>
        </w:rPr>
        <w:t xml:space="preserve">[5]  </w:t>
      </w:r>
      <w:r/>
      <w:r>
        <w:rPr>
          <w:b/>
          <w:bCs/>
        </w:rPr>
        <w:t>Sethi, K.</w:t>
      </w:r>
      <w:r>
        <w:t>, &amp; Mensah, K.</w:t>
      </w:r>
      <w:r>
        <w:t xml:space="preserve"> (2025). Understanding environmental public interest litigation. </w:t>
      </w:r>
      <w:r>
        <w:rPr>
          <w:i/>
        </w:rPr>
        <w:t>Asian Review of Environmental Law</w:t>
      </w:r>
      <w:r>
        <w:t>, 48(12), 534–545.</w:t>
      </w:r>
    </w:p>
    <w:p>
      <w:pPr>
        <w:pStyle w:val="Citation"/>
      </w:pPr>
      <w:r>
        <w:rPr>
          <w:b/>
          <w:bCs/>
          <w:color w:val="7F1D1D"/>
        </w:rPr>
        <w:t xml:space="preserve">[6]  </w:t>
      </w:r>
      <w:r>
        <w:t xml:space="preserve">Sato, Y., Kim, J., &amp; </w:t>
      </w:r>
      <w:r>
        <w:rPr>
          <w:b/>
          <w:bCs/>
        </w:rPr>
        <w:t>Sethi, K.</w:t>
      </w:r>
      <w:r/>
      <w:r>
        <w:t xml:space="preserve"> (2025). Scaling access to justice in district courts. </w:t>
      </w:r>
      <w:r>
        <w:rPr>
          <w:i/>
        </w:rPr>
        <w:t>Proceedings of the National Law Conference</w:t>
      </w:r>
      <w:r>
        <w:t>, pp. 742–754.</w:t>
      </w:r>
    </w:p>
    <w:p>
      <w:pPr>
        <w:pStyle w:val="Citation"/>
      </w:pPr>
      <w:r>
        <w:rPr>
          <w:b/>
          <w:bCs/>
          <w:color w:val="7F1D1D"/>
        </w:rPr>
        <w:t xml:space="preserve">[7]  </w:t>
      </w:r>
      <w:r>
        <w:t xml:space="preserve">Gupta, R., </w:t>
      </w:r>
      <w:r>
        <w:rPr>
          <w:b/>
          <w:bCs/>
        </w:rPr>
        <w:t>Sethi, K.</w:t>
      </w:r>
      <w:r>
        <w:t>, &amp; Haddad, N.</w:t>
      </w:r>
      <w:r>
        <w:t xml:space="preserve"> (2024). Designing for judicial review of tribunals. </w:t>
      </w:r>
      <w:r>
        <w:rPr>
          <w:i/>
        </w:rPr>
        <w:t>Journal of Technology Law and Policy</w:t>
      </w:r>
      <w:r>
        <w:t>, 9(6), 172–188.</w:t>
      </w:r>
    </w:p>
    <w:p>
      <w:pPr>
        <w:pStyle w:val="Citation"/>
      </w:pPr>
      <w:r>
        <w:rPr>
          <w:b/>
          <w:bCs/>
          <w:color w:val="7F1D1D"/>
        </w:rPr>
        <w:t xml:space="preserve">[8]  </w:t>
      </w:r>
      <w:r>
        <w:t xml:space="preserve">Iyer, M., Haddad, N., &amp; </w:t>
      </w:r>
      <w:r>
        <w:rPr>
          <w:b/>
          <w:bCs/>
        </w:rPr>
        <w:t>Sethi, K.</w:t>
      </w:r>
      <w:r/>
      <w:r>
        <w:t xml:space="preserve"> (2024). Measuring platform liability for user content. </w:t>
      </w:r>
      <w:r>
        <w:rPr>
          <w:i/>
        </w:rPr>
        <w:t>Proceedings of the National Law Conference</w:t>
      </w:r>
      <w:r>
        <w:t>, pp. 325–339.</w:t>
      </w:r>
    </w:p>
    <w:p>
      <w:pPr>
        <w:pStyle w:val="Citation"/>
      </w:pPr>
      <w:r>
        <w:rPr>
          <w:b/>
          <w:bCs/>
          <w:color w:val="7F1D1D"/>
        </w:rPr>
        <w:t xml:space="preserve">[9]  </w:t>
      </w:r>
      <w:r>
        <w:t xml:space="preserve">Haddad, N., Banerjee, P., </w:t>
      </w:r>
      <w:r>
        <w:rPr>
          <w:b/>
          <w:bCs/>
        </w:rPr>
        <w:t>Sethi, K.</w:t>
      </w:r>
      <w:r>
        <w:t>, &amp; Okafor, D.</w:t>
      </w:r>
      <w:r>
        <w:t xml:space="preserve"> (2024). Evidence on access to justice in district courts. </w:t>
      </w:r>
      <w:r>
        <w:rPr>
          <w:i/>
        </w:rPr>
        <w:t>Asian Review of Environmental Law</w:t>
      </w:r>
      <w:r>
        <w:t>, 26(4), 672–693.</w:t>
      </w:r>
    </w:p>
    <w:p>
      <w:pPr>
        <w:pStyle w:val="Citation"/>
      </w:pPr>
      <w:r>
        <w:rPr>
          <w:b/>
          <w:bCs/>
          <w:color w:val="7F1D1D"/>
        </w:rPr>
        <w:t xml:space="preserve">[10]  </w:t>
      </w:r>
      <w:r>
        <w:t xml:space="preserve">Gupta, R., &amp; </w:t>
      </w:r>
      <w:r>
        <w:rPr>
          <w:b/>
          <w:bCs/>
        </w:rPr>
        <w:t>Sethi, K.</w:t>
      </w:r>
      <w:r/>
      <w:r>
        <w:t xml:space="preserve"> (2023). Designing for judicial review of tribunals. </w:t>
      </w:r>
      <w:r>
        <w:rPr>
          <w:i/>
        </w:rPr>
        <w:t>Indian Journal of Constitutional Law Studies</w:t>
      </w:r>
      <w:r>
        <w:t>, 44(4), 418–433.</w:t>
      </w:r>
    </w:p>
    <w:p>
      <w:pPr>
        <w:pStyle w:val="Citation"/>
      </w:pPr>
      <w:r>
        <w:rPr>
          <w:b/>
          <w:bCs/>
          <w:color w:val="7F1D1D"/>
        </w:rPr>
        <w:t xml:space="preserve">[11]  </w:t>
      </w:r>
      <w:r>
        <w:t xml:space="preserve">Kim, J., Gupta, R., &amp; </w:t>
      </w:r>
      <w:r>
        <w:rPr>
          <w:b/>
          <w:bCs/>
        </w:rPr>
        <w:t>Sethi, K.</w:t>
      </w:r>
      <w:r/>
      <w:r>
        <w:t xml:space="preserve"> (2023). Designing for access to justice in district courts. </w:t>
      </w:r>
      <w:r>
        <w:rPr>
          <w:i/>
        </w:rPr>
        <w:t>Journal of Technology Law and Policy</w:t>
      </w:r>
      <w:r>
        <w:t>, 10(3), 290–306.</w:t>
      </w:r>
    </w:p>
    <w:p>
      <w:pPr>
        <w:pStyle w:val="SectionHeading"/>
        <w:shd w:val="clear" w:color="auto" w:fill="F1F5F9"/>
        <w:ind w:left="85"/>
      </w:pPr>
      <w:r>
        <w:t>Conference Presentations &amp; Invited Talks</w:t>
      </w:r>
    </w:p>
    <w:p>
      <w:pPr>
        <w:pStyle w:val="ResumeBullet"/>
      </w:pPr>
      <w:r>
        <w:t>Invited talk: “Scaling access to justice in district courts”, Asian Review of Environmental Law, London, 2026.</w:t>
      </w:r>
    </w:p>
    <w:p>
      <w:pPr>
        <w:pStyle w:val="ResumeBullet"/>
      </w:pPr>
      <w:r>
        <w:t>Invited talk: “Designing for gender and inheritance law”, Asian Review of Environmental Law, Melbourne, 2026.</w:t>
      </w:r>
    </w:p>
    <w:p>
      <w:pPr>
        <w:pStyle w:val="ResumeBullet"/>
      </w:pPr>
      <w:r>
        <w:t>Seminar: “Revisiting gender and inheritance law”, Symposium on Technology Law and Policy, Hyderabad, 2025.</w:t>
      </w:r>
    </w:p>
    <w:p>
      <w:pPr>
        <w:pStyle w:val="ResumeBullet"/>
      </w:pPr>
      <w:r>
        <w:t>Invited talk: “Revisiting environmental public interest litigation”, Proceedings of the National Law Conference, New Delhi, 2025.</w:t>
      </w:r>
    </w:p>
    <w:p>
      <w:pPr>
        <w:pStyle w:val="ResumeBullet"/>
      </w:pPr>
      <w:r>
        <w:t>Seminar: “Towards judicial review of tribunals”, Symposium on Technology Law and Policy, Singapore, 2024.</w:t>
      </w:r>
    </w:p>
    <w:p>
      <w:pPr>
        <w:pStyle w:val="ResumeBullet"/>
      </w:pPr>
      <w:r>
        <w:t>Keynote: “A study of environmental public interest litigation”, Indian Symposium on Constitutional Law Studies, Bengaluru, 2024.</w:t>
      </w:r>
    </w:p>
    <w:p>
      <w:pPr>
        <w:pStyle w:val="SectionHeading"/>
        <w:shd w:val="clear" w:color="auto" w:fill="F1F5F9"/>
        <w:ind w:left="85"/>
      </w:pPr>
      <w:r>
        <w:t>Teaching</w:t>
      </w:r>
    </w:p>
    <w:p>
      <w:pPr>
        <w:pStyle w:val="ResumeBullet"/>
      </w:pPr>
      <w:r>
        <w:t>Constitutional Law I &amp; II (B.A. LL.B.)</w:t>
      </w:r>
    </w:p>
    <w:p>
      <w:pPr>
        <w:pStyle w:val="ResumeBullet"/>
      </w:pPr>
      <w:r>
        <w:t>Law and Technology (LL.M.)</w:t>
      </w:r>
    </w:p>
    <w:p>
      <w:pPr>
        <w:pStyle w:val="ResumeBullet"/>
      </w:pPr>
      <w:r>
        <w:t>Clinical Legal Education: Legal Aid Clinic</w:t>
      </w:r>
    </w:p>
    <w:p>
      <w:pPr>
        <w:pStyle w:val="SectionHeading"/>
        <w:shd w:val="clear" w:color="auto" w:fill="F1F5F9"/>
        <w:ind w:left="85"/>
      </w:pPr>
      <w:r>
        <w:t>Professional Service</w:t>
      </w:r>
    </w:p>
    <w:p>
      <w:pPr>
        <w:pStyle w:val="ResumeBullet"/>
      </w:pPr>
      <w:r>
        <w:t>Member, Bar Council (enrolment on file)</w:t>
      </w:r>
    </w:p>
    <w:p>
      <w:pPr>
        <w:pStyle w:val="ResumeBullet"/>
      </w:pPr>
      <w:r>
        <w:t>Editorial board, Journal of Technology Law and Policy</w:t>
      </w:r>
    </w:p>
    <w:p>
      <w:pPr>
        <w:pStyle w:val="ResumeBullet"/>
      </w:pPr>
      <w:r>
        <w:t>Founder, district legal-aid camp series (2019–present)</w:t>
      </w:r>
    </w:p>
    <w:p>
      <w:pPr>
        <w:pStyle w:val="SectionHeading"/>
        <w:shd w:val="clear" w:color="auto" w:fill="F1F5F9"/>
        <w:ind w:left="85"/>
      </w:pPr>
      <w:r>
        <w:t>Skills</w:t>
      </w:r>
    </w:p>
    <w:p>
      <w:pPr>
        <w:pStyle w:val="BodyText"/>
      </w:pPr>
      <w:r>
        <w:rPr>
          <w:b/>
          <w:bCs/>
        </w:rPr>
        <w:t xml:space="preserve">Legal: </w:t>
      </w:r>
      <w:r>
        <w:t>Constitutional litigation, legislative drafting, policy research</w:t>
      </w:r>
    </w:p>
    <w:p>
      <w:pPr>
        <w:pStyle w:val="BodyText"/>
      </w:pPr>
      <w:r>
        <w:rPr>
          <w:b/>
          <w:bCs/>
        </w:rPr>
        <w:t xml:space="preserve">Tools: </w:t>
      </w:r>
      <w:r>
        <w:t>SCC Online, Manupatra, Zotero</w:t>
      </w:r>
    </w:p>
    <w:p>
      <w:pPr>
        <w:pStyle w:val="BodyText"/>
      </w:pPr>
      <w:r>
        <w:rPr>
          <w:b/>
          <w:bCs/>
        </w:rPr>
        <w:t xml:space="preserve">Languages: </w:t>
      </w:r>
      <w:r>
        <w:t>Hindi, English, Punjabi</w:t>
      </w:r>
    </w:p>
    <w:p>
      <w:pPr>
        <w:pStyle w:val="SectionHeading"/>
        <w:shd w:val="clear" w:color="auto" w:fill="F1F5F9"/>
        <w:ind w:left="85"/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Prof. N. Rao</w:t>
      </w:r>
    </w:p>
    <w:p>
      <w:pPr>
        <w:pStyle w:val="BodyText"/>
        <w:keepNext/>
        <w:spacing w:after="0"/>
      </w:pPr>
      <w:r>
        <w:t>Vice-Chancellor, National Law University of the North</w:t>
      </w:r>
    </w:p>
    <w:p>
      <w:pPr>
        <w:pStyle w:val="BodyText"/>
        <w:spacing w:after="100"/>
      </w:pPr>
      <w:r>
        <w:t>n.rao@nlu.edu</w:t>
      </w:r>
    </w:p>
    <w:p>
      <w:pPr>
        <w:pStyle w:val="BodyText"/>
        <w:keepNext/>
        <w:spacing w:after="0"/>
      </w:pPr>
      <w:r>
        <w:rPr>
          <w:b/>
          <w:bCs/>
        </w:rPr>
        <w:t>Justice (Retd.) S. Mehta</w:t>
      </w:r>
    </w:p>
    <w:p>
      <w:pPr>
        <w:pStyle w:val="BodyText"/>
        <w:keepNext/>
        <w:spacing w:after="0"/>
      </w:pPr>
      <w:r>
        <w:t>Former Judge, High Court</w:t>
      </w:r>
    </w:p>
    <w:p>
      <w:pPr>
        <w:pStyle w:val="BodyText"/>
        <w:spacing w:after="100"/>
      </w:pPr>
      <w:r>
        <w:t>chambers@mehta.example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ato" w:hAnsi="Lato" w:eastAsia="Lato" w:cs="Lato"/>
        <w:color w:val="888888"/>
        <w:sz w:val="16"/>
        <w:szCs w:val="16"/>
      </w:rPr>
      <w:t xml:space="preserve">Page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PAGE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  <w:r>
      <w:rPr>
        <w:rFonts w:ascii="Lato" w:hAnsi="Lato" w:eastAsia="Lato" w:cs="Lato"/>
        <w:color w:val="888888"/>
        <w:sz w:val="16"/>
        <w:szCs w:val="16"/>
      </w:rPr>
      <w:t xml:space="preserve"> of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NUMPAGES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ato" w:hAnsi="Lato" w:eastAsia="Lato" w:cs="Lato"/>
        <w:color w:val="888888"/>
        <w:sz w:val="16"/>
        <w:szCs w:val="16"/>
      </w:rPr>
      <w:t xml:space="preserve">Page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PAGE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  <w:r>
      <w:rPr>
        <w:rFonts w:ascii="Lato" w:hAnsi="Lato" w:eastAsia="Lato" w:cs="Lato"/>
        <w:color w:val="888888"/>
        <w:sz w:val="16"/>
        <w:szCs w:val="16"/>
      </w:rPr>
      <w:t xml:space="preserve"> of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NUMPAGES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Dr. Kabir Sethi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83" w:hanging="227"/>
      </w:pPr>
      <w:rPr>
        <w:rFonts w:ascii="Arial" w:hAnsi="Arial" w:cs="Arial" w:hint="default"/>
        <w:color w:val="7F1D1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Lato" w:hAnsi="Lato" w:eastAsia="Lato" w:cs="Tiro Devanagari Hindi"/>
      <w:color w:val="1E1E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Lato" w:hAnsi="Lato" w:eastAsia="Lato" w:cs="Tiro Devanagari Hindi"/>
      <w:b w:val="0"/>
      <w:i w:val="0"/>
      <w:caps w:val="0"/>
      <w:smallCaps w:val="0"/>
      <w:color w:val="1E1E1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Playfair Display" w:hAnsi="Playfair Display" w:eastAsia="Playfair Display" w:cs="Tiro Devanagari Hindi"/>
      <w:b/>
      <w:bCs/>
      <w:i w:val="0"/>
      <w:caps/>
      <w:smallCaps w:val="0"/>
      <w:color w:val="1E1E1E"/>
      <w:spacing w:val="40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Lato" w:hAnsi="Lato" w:eastAsia="Lato" w:cs="Tiro Devanagari Hindi"/>
      <w:b w:val="0"/>
      <w:i w:val="0"/>
      <w:caps w:val="0"/>
      <w:smallCaps w:val="0"/>
      <w:color w:val="1E1E1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Lato" w:hAnsi="Lato" w:eastAsia="Lato" w:cs="Tiro Devanagari Hindi"/>
      <w:b w:val="0"/>
      <w:i w:val="0"/>
      <w:caps w:val="0"/>
      <w:smallCaps w:val="0"/>
      <w:color w:val="555555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Playfair Display" w:hAnsi="Playfair Display" w:eastAsia="Playfair Display" w:cs="Tiro Devanagari Hindi"/>
      <w:b/>
      <w:bCs/>
      <w:i w:val="0"/>
      <w:caps/>
      <w:smallCaps w:val="0"/>
      <w:color w:val="7F1D1D"/>
      <w:spacing w:val="28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Lato" w:hAnsi="Lato" w:eastAsia="Lato" w:cs="Tiro Devanagari Hindi"/>
      <w:b w:val="0"/>
      <w:i w:val="0"/>
      <w:caps w:val="0"/>
      <w:smallCaps w:val="0"/>
      <w:color w:val="1E1E1E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Lato" w:hAnsi="Lato" w:eastAsia="Lato" w:cs="Tiro Devanagari Hindi"/>
      <w:b/>
      <w:bCs/>
      <w:i w:val="0"/>
      <w:caps w:val="0"/>
      <w:smallCaps w:val="0"/>
      <w:color w:val="1E1E1E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ato" w:hAnsi="Lato" w:eastAsia="Lato" w:cs="Tiro Devanagari Hindi"/>
      <w:b w:val="0"/>
      <w:i/>
      <w:caps w:val="0"/>
      <w:smallCaps w:val="0"/>
      <w:color w:val="444444"/>
      <w:sz w:val="20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Lato" w:hAnsi="Lato" w:eastAsia="Lato" w:cs="Tiro Devanagari Hindi"/>
      <w:b w:val="0"/>
      <w:i w:val="0"/>
      <w:caps w:val="0"/>
      <w:smallCaps w:val="0"/>
      <w:color w:val="1E1E1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Lato" w:hAnsi="Lato" w:eastAsia="Lato" w:cs="Tiro Devanagari Hindi"/>
      <w:b w:val="0"/>
      <w:i w:val="0"/>
      <w:caps w:val="0"/>
      <w:smallCaps w:val="0"/>
      <w:color w:val="1E1E1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 Header · Shaded Bands — Law Professor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