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left w:val="single" w:sz="48" w:space="12" w:color="365314"/>
        </w:pBdr>
        <w:ind w:left="283"/>
      </w:pPr>
      <w:r>
        <w:t>Ar. Ishita Chauhan</w:t>
      </w:r>
    </w:p>
    <w:p>
      <w:pPr>
        <w:pStyle w:val="Role"/>
        <w:pBdr>
          <w:left w:val="single" w:sz="48" w:space="12" w:color="365314"/>
        </w:pBdr>
        <w:ind w:left="283"/>
      </w:pPr>
      <w:r>
        <w:t>Architect &amp; Assistant Professor of Architecture</w:t>
      </w:r>
    </w:p>
    <w:p>
      <w:pPr>
        <w:pStyle w:val="Contact"/>
        <w:pBdr>
          <w:left w:val="single" w:sz="48" w:space="12" w:color="365314"/>
        </w:pBdr>
        <w:spacing w:after="80"/>
        <w:ind w:left="283"/>
      </w:pPr>
      <w:r>
        <w:t>Ahmedabad, India</w:t>
      </w:r>
      <w:r>
        <w:rPr>
          <w:color w:val="365314"/>
        </w:rPr>
        <w:t xml:space="preserve">   |   </w:t>
      </w:r>
      <w:r>
        <w:t>+91 98250 64130</w:t>
      </w:r>
      <w:r>
        <w:rPr>
          <w:color w:val="365314"/>
        </w:rPr>
        <w:t xml:space="preserve">   |   </w:t>
      </w:r>
      <w:r>
        <w:t>ishita.chauhan@studio.example</w:t>
      </w:r>
      <w:r>
        <w:rPr>
          <w:color w:val="365314"/>
        </w:rPr>
        <w:t xml:space="preserve">   |   </w:t>
      </w:r>
      <w:r>
        <w:t>studio-mitti.in</w:t>
      </w:r>
    </w:p>
    <w:p>
      <w:pPr>
        <w:pStyle w:val="SectionHeading"/>
        <w:tabs>
          <w:tab w:pos="9411" w:val="right" w:leader="heavy"/>
        </w:tabs>
      </w:pPr>
      <w:r>
        <w:t xml:space="preserve">Profile  </w:t>
      </w:r>
      <w:r>
        <w:rPr>
          <w:color w:val="90A07D"/>
        </w:rPr>
        <w:tab/>
      </w:r>
    </w:p>
    <w:p>
      <w:pPr>
        <w:pStyle w:val="Summary"/>
      </w:pPr>
      <w:r>
        <w:t>Architect and educator working on climate-responsive housing and heritage reuse in western India. Her studio has completed 22 projects using earth, lime and passive cooling.</w:t>
      </w:r>
    </w:p>
    <w:p>
      <w:pPr>
        <w:pStyle w:val="BodyText"/>
        <w:spacing w:before="80"/>
      </w:pPr>
      <w:r>
        <w:rPr>
          <w:b/>
          <w:bCs/>
          <w:color w:val="365314"/>
        </w:rPr>
        <w:t xml:space="preserve">Research interests: </w:t>
      </w:r>
      <w:r>
        <w:t>Passive cooling · earth construction · heritage reuse · affordable housing</w:t>
      </w:r>
    </w:p>
    <w:p>
      <w:pPr>
        <w:pStyle w:val="SectionHeading"/>
        <w:tabs>
          <w:tab w:pos="9411" w:val="right" w:leader="heavy"/>
        </w:tabs>
      </w:pPr>
      <w:r>
        <w:t xml:space="preserve">Practice &amp; Academic Experience  </w:t>
      </w:r>
      <w:r>
        <w:rPr>
          <w:color w:val="90A07D"/>
        </w:rPr>
        <w:tab/>
      </w:r>
    </w:p>
    <w:p>
      <w:pPr>
        <w:pStyle w:val="EntryTitle"/>
      </w:pPr>
      <w:r>
        <w:t>Principal Architect</w:t>
      </w:r>
      <w:r>
        <w:rPr>
          <w:b w:val="0"/>
          <w:i/>
          <w:color w:val="365314"/>
          <w:sz w:val="22"/>
          <w:szCs w:val="22"/>
        </w:rPr>
        <w:t xml:space="preserve">  ·  2016 – Present</w:t>
      </w:r>
    </w:p>
    <w:p>
      <w:pPr>
        <w:pStyle w:val="EntryMeta"/>
      </w:pPr>
      <w:r>
        <w:t>Studio Mitti, Ahmedabad</w:t>
      </w:r>
    </w:p>
    <w:p>
      <w:pPr>
        <w:pStyle w:val="ResumeBullet"/>
      </w:pPr>
      <w:r>
        <w:t>22 built projects: homes, a rural school and two heritage mill conversions.</w:t>
      </w:r>
    </w:p>
    <w:p>
      <w:pPr>
        <w:pStyle w:val="ResumeBullet"/>
      </w:pPr>
      <w:r>
        <w:t>Earth-block school in Kutch cut summer indoor temperatures by 6 °C without air-conditioning (sample data).</w:t>
      </w:r>
    </w:p>
    <w:p>
      <w:pPr>
        <w:pStyle w:val="EntryTitle"/>
      </w:pPr>
      <w:r>
        <w:t>Assistant Professor (visiting)</w:t>
      </w:r>
      <w:r>
        <w:rPr>
          <w:b w:val="0"/>
          <w:i/>
          <w:color w:val="365314"/>
          <w:sz w:val="22"/>
          <w:szCs w:val="22"/>
        </w:rPr>
        <w:t xml:space="preserve">  ·  2018 – Present</w:t>
      </w:r>
    </w:p>
    <w:p>
      <w:pPr>
        <w:pStyle w:val="EntryMeta"/>
      </w:pPr>
      <w:r>
        <w:t>Sabarmati School of Planning and Design</w:t>
      </w:r>
    </w:p>
    <w:p>
      <w:pPr>
        <w:pStyle w:val="ResumeBullet"/>
      </w:pPr>
      <w:r>
        <w:t>Run the fourth-year housing studio and the climate-design elective.</w:t>
      </w:r>
    </w:p>
    <w:p>
      <w:pPr>
        <w:pStyle w:val="EntryTitle"/>
      </w:pPr>
      <w:r>
        <w:t>Architect</w:t>
      </w:r>
      <w:r>
        <w:rPr>
          <w:b w:val="0"/>
          <w:i/>
          <w:color w:val="365314"/>
          <w:sz w:val="22"/>
          <w:szCs w:val="22"/>
        </w:rPr>
        <w:t xml:space="preserve">  ·  2014 – 2016</w:t>
      </w:r>
    </w:p>
    <w:p>
      <w:pPr>
        <w:pStyle w:val="EntryMeta"/>
      </w:pPr>
      <w:r>
        <w:t>Lime &amp; Stone Architects</w:t>
      </w:r>
    </w:p>
    <w:p>
      <w:pPr>
        <w:pStyle w:val="ResumeBullet"/>
      </w:pPr>
      <w:r>
        <w:t>Project architect for a 120-unit affordable housing scheme.</w:t>
      </w:r>
    </w:p>
    <w:p>
      <w:pPr>
        <w:pStyle w:val="SectionHeading"/>
        <w:tabs>
          <w:tab w:pos="9411" w:val="right" w:leader="heavy"/>
        </w:tabs>
      </w:pPr>
      <w:r>
        <w:t xml:space="preserve">Education  </w:t>
      </w:r>
      <w:r>
        <w:rPr>
          <w:color w:val="90A07D"/>
        </w:rPr>
        <w:tab/>
      </w:r>
    </w:p>
    <w:p>
      <w:pPr>
        <w:pStyle w:val="EntryTitle"/>
      </w:pPr>
      <w:r>
        <w:t>M.Arch., Sustainable Architecture</w:t>
      </w:r>
      <w:r>
        <w:rPr>
          <w:b w:val="0"/>
          <w:i/>
          <w:color w:val="365314"/>
          <w:sz w:val="22"/>
          <w:szCs w:val="22"/>
        </w:rPr>
        <w:t xml:space="preserve">  ·  2012 – 2014</w:t>
      </w:r>
    </w:p>
    <w:p>
      <w:pPr>
        <w:pStyle w:val="EntryMeta"/>
      </w:pPr>
      <w:r>
        <w:t>Sabarmati School of Planning and Design</w:t>
      </w:r>
    </w:p>
    <w:p>
      <w:pPr>
        <w:pStyle w:val="EntryTitle"/>
      </w:pPr>
      <w:r>
        <w:t>B.Arch.</w:t>
      </w:r>
      <w:r>
        <w:rPr>
          <w:b w:val="0"/>
          <w:i/>
          <w:color w:val="365314"/>
          <w:sz w:val="22"/>
          <w:szCs w:val="22"/>
        </w:rPr>
        <w:t xml:space="preserve">  ·  2007 – 2012</w:t>
      </w:r>
    </w:p>
    <w:p>
      <w:pPr>
        <w:pStyle w:val="EntryMeta"/>
      </w:pPr>
      <w:r>
        <w:t>Sabarmati School of Planning and Design</w:t>
      </w:r>
    </w:p>
    <w:p>
      <w:pPr>
        <w:pStyle w:val="BodyText"/>
      </w:pPr>
      <w:r>
        <w:t>Thesis prize for a courtyard housing cluster</w:t>
      </w:r>
    </w:p>
    <w:p>
      <w:pPr>
        <w:pStyle w:val="SectionHeading"/>
        <w:tabs>
          <w:tab w:pos="9411" w:val="right" w:leader="heavy"/>
        </w:tabs>
      </w:pPr>
      <w:r>
        <w:t xml:space="preserve">Selected Projects  </w:t>
      </w:r>
      <w:r>
        <w:rPr>
          <w:color w:val="90A07D"/>
        </w:rPr>
        <w:tab/>
      </w:r>
    </w:p>
    <w:p>
      <w:pPr>
        <w:pStyle w:val="EntryTitle"/>
      </w:pPr>
      <w:r>
        <w:t>Kutch Earth School</w:t>
      </w:r>
      <w:r>
        <w:rPr>
          <w:b w:val="0"/>
          <w:i/>
          <w:color w:val="365314"/>
          <w:sz w:val="22"/>
          <w:szCs w:val="22"/>
        </w:rPr>
        <w:t xml:space="preserve">  ·  2021</w:t>
      </w:r>
    </w:p>
    <w:p>
      <w:pPr>
        <w:pStyle w:val="EntryMeta"/>
      </w:pPr>
      <w:r>
        <w:t>Studio Mitti</w:t>
      </w:r>
    </w:p>
    <w:p>
      <w:pPr>
        <w:pStyle w:val="ResumeBullet"/>
      </w:pPr>
      <w:r>
        <w:t>Compressed earth blocks, wind catchers and shaded courts for 300 pupils.</w:t>
      </w:r>
    </w:p>
    <w:p>
      <w:pPr>
        <w:pStyle w:val="EntryTitle"/>
      </w:pPr>
      <w:r>
        <w:t>Mill No. 4 Adaptive Reuse</w:t>
      </w:r>
      <w:r>
        <w:rPr>
          <w:b w:val="0"/>
          <w:i/>
          <w:color w:val="365314"/>
          <w:sz w:val="22"/>
          <w:szCs w:val="22"/>
        </w:rPr>
        <w:t xml:space="preserve">  ·  2023</w:t>
      </w:r>
    </w:p>
    <w:p>
      <w:pPr>
        <w:pStyle w:val="EntryMeta"/>
      </w:pPr>
      <w:r>
        <w:t>Studio Mitti</w:t>
      </w:r>
    </w:p>
    <w:p>
      <w:pPr>
        <w:pStyle w:val="ResumeBullet"/>
      </w:pPr>
      <w:r>
        <w:t>A 1930s textile mill turned into studios and a public library.</w:t>
      </w:r>
    </w:p>
    <w:p>
      <w:pPr>
        <w:pStyle w:val="SectionHeading"/>
        <w:tabs>
          <w:tab w:pos="9411" w:val="right" w:leader="heavy"/>
        </w:tabs>
      </w:pPr>
      <w:r>
        <w:t xml:space="preserve">Grants, Awards &amp; Honours  </w:t>
      </w:r>
      <w:r>
        <w:rPr>
          <w:color w:val="90A07D"/>
        </w:rPr>
        <w:tab/>
      </w:r>
    </w:p>
    <w:p>
      <w:pPr>
        <w:pStyle w:val="ResumeBullet"/>
      </w:pPr>
      <w:r>
        <w:t>Young Architect Award, national architecture foundation (2022)</w:t>
      </w:r>
    </w:p>
    <w:p>
      <w:pPr>
        <w:pStyle w:val="ResumeBullet"/>
      </w:pPr>
      <w:r>
        <w:t>Shortlist, Asian sustainable building awards (2023)</w:t>
      </w:r>
    </w:p>
    <w:p>
      <w:pPr>
        <w:pStyle w:val="SectionHeading"/>
        <w:tabs>
          <w:tab w:pos="9411" w:val="right" w:leader="heavy"/>
        </w:tabs>
      </w:pPr>
      <w:r>
        <w:t xml:space="preserve">Teaching  </w:t>
      </w:r>
      <w:r>
        <w:rPr>
          <w:color w:val="90A07D"/>
        </w:rPr>
        <w:tab/>
      </w:r>
    </w:p>
    <w:p>
      <w:pPr>
        <w:pStyle w:val="ResumeBullet"/>
      </w:pPr>
      <w:r>
        <w:t>Housing Design Studio (B.Arch. Year 4)</w:t>
      </w:r>
    </w:p>
    <w:p>
      <w:pPr>
        <w:pStyle w:val="ResumeBullet"/>
      </w:pPr>
      <w:r>
        <w:t>Climate-Responsive Design (elective)</w:t>
      </w:r>
    </w:p>
    <w:p>
      <w:pPr>
        <w:pStyle w:val="ResumeBullet"/>
      </w:pPr>
      <w:r>
        <w:t>Building with Earth (workshop series)</w:t>
      </w:r>
    </w:p>
    <w:p>
      <w:pPr>
        <w:pStyle w:val="SectionHeading"/>
        <w:tabs>
          <w:tab w:pos="9411" w:val="right" w:leader="heavy"/>
        </w:tabs>
      </w:pPr>
      <w:r>
        <w:t xml:space="preserve">Publications  </w:t>
      </w:r>
      <w:r>
        <w:rPr>
          <w:color w:val="90A07D"/>
        </w:rPr>
        <w:tab/>
      </w:r>
    </w:p>
    <w:p>
      <w:pPr>
        <w:pStyle w:val="Citation"/>
      </w:pPr>
      <w:r>
        <w:t xml:space="preserve">Iyer, M., </w:t>
      </w:r>
      <w:r>
        <w:rPr>
          <w:b/>
          <w:bCs/>
        </w:rPr>
        <w:t>Chauhan, I.</w:t>
      </w:r>
      <w:r>
        <w:t>, Okafor, D., &amp; Fischer, A.</w:t>
      </w:r>
      <w:r>
        <w:t xml:space="preserve"> (2026). Revisiting courtyard housing typologies. </w:t>
      </w:r>
      <w:r>
        <w:rPr>
          <w:i/>
        </w:rPr>
        <w:t>Urban Design and Heritage Review</w:t>
      </w:r>
      <w:r>
        <w:t>, 11(9), 212–232.</w:t>
      </w:r>
    </w:p>
    <w:p>
      <w:pPr>
        <w:pStyle w:val="Citation"/>
      </w:pPr>
      <w:r/>
      <w:r>
        <w:rPr>
          <w:b/>
          <w:bCs/>
        </w:rPr>
        <w:t>Chauhan, I.</w:t>
      </w:r>
      <w:r>
        <w:t>, &amp; Menon, V.</w:t>
      </w:r>
      <w:r>
        <w:t xml:space="preserve"> (2026). Measuring passive cooling in hot-dry climates. </w:t>
      </w:r>
      <w:r>
        <w:rPr>
          <w:i/>
        </w:rPr>
        <w:t>Proceedings of the Asian Conference on Sustainable Buildings</w:t>
      </w:r>
      <w:r>
        <w:t>, pp. 112–122.</w:t>
      </w:r>
    </w:p>
    <w:p>
      <w:pPr>
        <w:pStyle w:val="Citation"/>
      </w:pPr>
      <w:r>
        <w:t xml:space="preserve">Kim, J., &amp; </w:t>
      </w:r>
      <w:r>
        <w:rPr>
          <w:b/>
          <w:bCs/>
        </w:rPr>
        <w:t>Chauhan, I.</w:t>
      </w:r>
      <w:r/>
      <w:r>
        <w:t xml:space="preserve"> (2026). Scaling walkable neighbourhoods for small cities. </w:t>
      </w:r>
      <w:r>
        <w:rPr>
          <w:i/>
        </w:rPr>
        <w:t>Built Environment Quarterly</w:t>
      </w:r>
      <w:r>
        <w:t>, 28(11), 162–175.</w:t>
      </w:r>
    </w:p>
    <w:p>
      <w:pPr>
        <w:pStyle w:val="Citation"/>
      </w:pPr>
      <w:r>
        <w:t xml:space="preserve">Fischer, A., &amp; </w:t>
      </w:r>
      <w:r>
        <w:rPr>
          <w:b/>
          <w:bCs/>
        </w:rPr>
        <w:t>Chauhan, I.</w:t>
      </w:r>
      <w:r/>
      <w:r>
        <w:t xml:space="preserve"> (2025). Designing for courtyard housing typologies. </w:t>
      </w:r>
      <w:r>
        <w:rPr>
          <w:i/>
        </w:rPr>
        <w:t>Proceedings of the Asian Conference on Sustainable Buildings</w:t>
      </w:r>
      <w:r>
        <w:t>, pp. 798–809.</w:t>
      </w:r>
    </w:p>
    <w:p>
      <w:pPr>
        <w:pStyle w:val="Citation"/>
      </w:pPr>
      <w:r>
        <w:t xml:space="preserve">Okafor, D., &amp; </w:t>
      </w:r>
      <w:r>
        <w:rPr>
          <w:b/>
          <w:bCs/>
        </w:rPr>
        <w:t>Chauhan, I.</w:t>
      </w:r>
      <w:r/>
      <w:r>
        <w:t xml:space="preserve"> (2025). Evidence on earth-block construction. </w:t>
      </w:r>
      <w:r>
        <w:rPr>
          <w:i/>
        </w:rPr>
        <w:t>Journal of Tropical Architecture</w:t>
      </w:r>
      <w:r>
        <w:t>, 20(5), 430–440.</w:t>
      </w:r>
    </w:p>
    <w:p>
      <w:pPr>
        <w:pStyle w:val="Citation"/>
      </w:pPr>
      <w:r>
        <w:t xml:space="preserve">Kim, J., </w:t>
      </w:r>
      <w:r>
        <w:rPr>
          <w:b/>
          <w:bCs/>
        </w:rPr>
        <w:t>Chauhan, I.</w:t>
      </w:r>
      <w:r>
        <w:t>, &amp; Mensah, K.</w:t>
      </w:r>
      <w:r>
        <w:t xml:space="preserve"> (2025). A study of adaptive reuse of heritage mills. </w:t>
      </w:r>
      <w:r>
        <w:rPr>
          <w:i/>
        </w:rPr>
        <w:t>Proceedings of the Asian Conference on Sustainable Buildings</w:t>
      </w:r>
      <w:r>
        <w:t>, pp. 491–502.</w:t>
      </w:r>
    </w:p>
    <w:p>
      <w:pPr>
        <w:pStyle w:val="Citation"/>
      </w:pPr>
      <w:r>
        <w:t xml:space="preserve">Kim, J., </w:t>
      </w:r>
      <w:r>
        <w:rPr>
          <w:b/>
          <w:bCs/>
        </w:rPr>
        <w:t>Chauhan, I.</w:t>
      </w:r>
      <w:r>
        <w:t>, Mensah, K., &amp; Fischer, A.</w:t>
      </w:r>
      <w:r>
        <w:t xml:space="preserve"> (2024). Designing for passive cooling in hot-dry climates. </w:t>
      </w:r>
      <w:r>
        <w:rPr>
          <w:i/>
        </w:rPr>
        <w:t>Urban Design and Heritage Review</w:t>
      </w:r>
      <w:r>
        <w:t>, 34(11), 875–886.</w:t>
      </w:r>
    </w:p>
    <w:p>
      <w:pPr>
        <w:pStyle w:val="Citation"/>
      </w:pPr>
      <w:r>
        <w:t xml:space="preserve">Haddad, N., Banerjee, P., &amp; </w:t>
      </w:r>
      <w:r>
        <w:rPr>
          <w:b/>
          <w:bCs/>
        </w:rPr>
        <w:t>Chauhan, I.</w:t>
      </w:r>
      <w:r/>
      <w:r>
        <w:t xml:space="preserve"> (2024). Designing for courtyard housing typologies. </w:t>
      </w:r>
      <w:r>
        <w:rPr>
          <w:i/>
        </w:rPr>
        <w:t>Built Environment Quarterly</w:t>
      </w:r>
      <w:r>
        <w:t>, 47(2), 109–130.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Chauhan, I.</w:t>
      </w:r>
      <w:r/>
      <w:r>
        <w:t xml:space="preserve"> (2024). Evidence on walkable neighbourhoods for small cities. </w:t>
      </w:r>
      <w:r>
        <w:rPr>
          <w:i/>
        </w:rPr>
        <w:t>Proceedings of the Asian Conference on Sustainable Buildings</w:t>
      </w:r>
      <w:r>
        <w:t>, pp. 155–167.</w:t>
      </w:r>
    </w:p>
    <w:p>
      <w:pPr>
        <w:pStyle w:val="SectionHeading"/>
        <w:tabs>
          <w:tab w:pos="9411" w:val="right" w:leader="heavy"/>
        </w:tabs>
      </w:pPr>
      <w:r>
        <w:t xml:space="preserve">Conference Presentations &amp; Invited Talks  </w:t>
      </w:r>
      <w:r>
        <w:rPr>
          <w:color w:val="90A07D"/>
        </w:rPr>
        <w:tab/>
      </w:r>
    </w:p>
    <w:p>
      <w:pPr>
        <w:pStyle w:val="ResumeBullet"/>
      </w:pPr>
      <w:r>
        <w:t>Invited talk: “Evidence on passive cooling in hot-dry climates”, Urban Design and Heritage Review, Boston, 2026.</w:t>
      </w:r>
    </w:p>
    <w:p>
      <w:pPr>
        <w:pStyle w:val="ResumeBullet"/>
      </w:pPr>
      <w:r>
        <w:t>Contributed talk: “Designing for daylighting in classrooms”, Proceedings of the Asian Conference on Sustainable Buildings, Toronto, 2026.</w:t>
      </w:r>
    </w:p>
    <w:p>
      <w:pPr>
        <w:pStyle w:val="ResumeBullet"/>
      </w:pPr>
      <w:r>
        <w:t>Poster: “Rethinking passive cooling in hot-dry climates”, Symposium on Tropical Architecture, Berlin, 2025.</w:t>
      </w:r>
    </w:p>
    <w:p>
      <w:pPr>
        <w:pStyle w:val="ResumeBullet"/>
      </w:pPr>
      <w:r>
        <w:t>Contributed talk: “A study of earth-block construction”, Urban Design and Heritage Review, Hyderabad, 2025.</w:t>
      </w:r>
    </w:p>
    <w:p>
      <w:pPr>
        <w:pStyle w:val="ResumeBullet"/>
      </w:pPr>
      <w:r>
        <w:t>Keynote: “Scaling walkable neighbourhoods for small cities”, Built Environment Quarterly, Berlin, 2024.</w:t>
      </w:r>
    </w:p>
    <w:p>
      <w:pPr>
        <w:pStyle w:val="ResumeBullet"/>
      </w:pPr>
      <w:r>
        <w:t>Keynote: “Scaling walkable neighbourhoods for small cities”, Symposium on Tropical Architecture, New Delhi, 2024.</w:t>
      </w:r>
    </w:p>
    <w:p>
      <w:pPr>
        <w:pStyle w:val="ResumeBullet"/>
      </w:pPr>
      <w:r>
        <w:t>Keynote: “Scaling courtyard housing typologies”, Proceedings of the Asian Conference on Sustainable Buildings, Bengaluru, 2023.</w:t>
      </w:r>
    </w:p>
    <w:p>
      <w:pPr>
        <w:pStyle w:val="ResumeBullet"/>
      </w:pPr>
      <w:r>
        <w:t>Keynote: “New approaches to walkable neighbourhoods for small cities”, Proceedings of the Asian Conference on Sustainable Buildings, Toronto, 2023.</w:t>
      </w:r>
    </w:p>
    <w:p>
      <w:pPr>
        <w:pStyle w:val="SectionHeading"/>
        <w:tabs>
          <w:tab w:pos="9411" w:val="right" w:leader="heavy"/>
        </w:tabs>
      </w:pPr>
      <w:r>
        <w:t xml:space="preserve">Professional Service  </w:t>
      </w:r>
      <w:r>
        <w:rPr>
          <w:color w:val="90A07D"/>
        </w:rPr>
        <w:tab/>
      </w:r>
    </w:p>
    <w:p>
      <w:pPr>
        <w:pStyle w:val="ResumeBullet"/>
      </w:pPr>
      <w:r>
        <w:t>Registered architect, national council of architecture (registration on file)</w:t>
      </w:r>
    </w:p>
    <w:p>
      <w:pPr>
        <w:pStyle w:val="ResumeBullet"/>
      </w:pPr>
      <w:r>
        <w:t>Jury member, student design competitions (2019–present)</w:t>
      </w:r>
    </w:p>
    <w:p>
      <w:pPr>
        <w:pStyle w:val="SectionHeading"/>
        <w:tabs>
          <w:tab w:pos="9411" w:val="right" w:leader="heavy"/>
        </w:tabs>
      </w:pPr>
      <w:r>
        <w:t xml:space="preserve">Skills  </w:t>
      </w:r>
      <w:r>
        <w:rPr>
          <w:color w:val="90A07D"/>
        </w:rPr>
        <w:tab/>
      </w:r>
    </w:p>
    <w:p>
      <w:pPr>
        <w:pStyle w:val="BodyText"/>
      </w:pPr>
      <w:r>
        <w:rPr>
          <w:b/>
          <w:bCs/>
        </w:rPr>
        <w:t xml:space="preserve">Design: </w:t>
      </w:r>
      <w:r>
        <w:t>AutoCAD, Revit, Rhino, SketchUp, Enscape</w:t>
      </w:r>
    </w:p>
    <w:p>
      <w:pPr>
        <w:pStyle w:val="BodyText"/>
      </w:pPr>
      <w:r>
        <w:rPr>
          <w:b/>
          <w:bCs/>
        </w:rPr>
        <w:t xml:space="preserve">Performance: </w:t>
      </w:r>
      <w:r>
        <w:t>Climate Consultant, Ladybug, daylight simulation</w:t>
      </w:r>
    </w:p>
    <w:p>
      <w:pPr>
        <w:pStyle w:val="BodyText"/>
      </w:pPr>
      <w:r>
        <w:rPr>
          <w:b/>
          <w:bCs/>
        </w:rPr>
        <w:t xml:space="preserve">Languages: </w:t>
      </w:r>
      <w:r>
        <w:t>Gujarati (native), Hindi, English</w:t>
      </w:r>
    </w:p>
    <w:p>
      <w:pPr>
        <w:pStyle w:val="SectionHeading"/>
        <w:tabs>
          <w:tab w:pos="9411" w:val="right" w:leader="heavy"/>
        </w:tabs>
      </w:pPr>
      <w:r>
        <w:t xml:space="preserve">References  </w:t>
      </w:r>
      <w:r>
        <w:rPr>
          <w:color w:val="90A07D"/>
        </w:rPr>
        <w:tab/>
      </w:r>
    </w:p>
    <w:p>
      <w:pPr>
        <w:pStyle w:val="BodyText"/>
        <w:keepNext/>
        <w:spacing w:after="0"/>
      </w:pPr>
      <w:r>
        <w:rPr>
          <w:b/>
          <w:bCs/>
        </w:rPr>
        <w:t>Prof. D. Shah</w:t>
      </w:r>
    </w:p>
    <w:p>
      <w:pPr>
        <w:pStyle w:val="BodyText"/>
        <w:keepNext/>
        <w:spacing w:after="0"/>
      </w:pPr>
      <w:r>
        <w:t>Dean, Sabarmati School of Planning and Design</w:t>
      </w:r>
    </w:p>
    <w:p>
      <w:pPr>
        <w:pStyle w:val="BodyText"/>
        <w:spacing w:after="100"/>
      </w:pPr>
      <w:r>
        <w:t>d.shah@school.edu</w:t>
      </w:r>
    </w:p>
    <w:p>
      <w:pPr>
        <w:pStyle w:val="BodyText"/>
        <w:keepNext/>
        <w:spacing w:after="0"/>
      </w:pPr>
      <w:r>
        <w:rPr>
          <w:b/>
          <w:bCs/>
        </w:rPr>
        <w:t>Ar. R. Doshi</w:t>
      </w:r>
    </w:p>
    <w:p>
      <w:pPr>
        <w:pStyle w:val="BodyText"/>
        <w:keepNext/>
        <w:spacing w:after="0"/>
      </w:pPr>
      <w:r>
        <w:t>Founder, Lime &amp; Stone Architects</w:t>
      </w:r>
    </w:p>
    <w:p>
      <w:pPr>
        <w:pStyle w:val="BodyText"/>
        <w:spacing w:after="100"/>
      </w:pPr>
      <w:r>
        <w:t>r.doshi@firm.example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rimson Pro" w:hAnsi="Crimson Pro" w:eastAsia="Crimson Pro" w:cs="Crimson Pro"/>
        <w:color w:val="888888"/>
        <w:sz w:val="16"/>
        <w:szCs w:val="16"/>
      </w:rPr>
      <w:t xml:space="preserve">Page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PAGE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  <w:r>
      <w:rPr>
        <w:rFonts w:ascii="Crimson Pro" w:hAnsi="Crimson Pro" w:eastAsia="Crimson Pro" w:cs="Crimson Pro"/>
        <w:color w:val="888888"/>
        <w:sz w:val="16"/>
        <w:szCs w:val="16"/>
      </w:rPr>
      <w:t xml:space="preserve"> of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NUMPAGES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rimson Pro" w:hAnsi="Crimson Pro" w:eastAsia="Crimson Pro" w:cs="Crimson Pro"/>
        <w:color w:val="888888"/>
        <w:sz w:val="16"/>
        <w:szCs w:val="16"/>
      </w:rPr>
      <w:t xml:space="preserve">Page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PAGE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  <w:r>
      <w:rPr>
        <w:rFonts w:ascii="Crimson Pro" w:hAnsi="Crimson Pro" w:eastAsia="Crimson Pro" w:cs="Crimson Pro"/>
        <w:color w:val="888888"/>
        <w:sz w:val="16"/>
        <w:szCs w:val="16"/>
      </w:rPr>
      <w:t xml:space="preserve"> of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NUMPAGES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Ar. Ishita Chauhan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36531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rimson Pro" w:hAnsi="Crimson Pro" w:eastAsia="Crimson Pro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rimson Pro" w:hAnsi="Crimson Pro" w:eastAsia="Crimson Pro" w:cs="Tiro Devanagari Hindi"/>
      <w:color w:val="1E1E1E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Josefin Sans" w:hAnsi="Josefin Sans" w:eastAsia="Josefin Sans" w:cs="Tiro Devanagari Hindi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5"/>
      <w:szCs w:val="25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Crimson Pro" w:hAnsi="Crimson Pro" w:eastAsia="Crimson Pro" w:cs="Tiro Devanagari Hindi"/>
      <w:b w:val="0"/>
      <w:i w:val="0"/>
      <w:caps w:val="0"/>
      <w:smallCaps w:val="0"/>
      <w:color w:val="555555"/>
      <w:sz w:val="21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Josefin Sans" w:hAnsi="Josefin Sans" w:eastAsia="Josefin Sans" w:cs="Tiro Devanagari Hindi"/>
      <w:b/>
      <w:bCs/>
      <w:i w:val="0"/>
      <w:caps/>
      <w:smallCaps w:val="0"/>
      <w:color w:val="365314"/>
      <w:spacing w:val="28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Crimson Pro" w:hAnsi="Crimson Pro" w:eastAsia="Crimson Pro" w:cs="Tiro Devanagari Hindi"/>
      <w:b/>
      <w:bCs/>
      <w:i w:val="0"/>
      <w:caps w:val="0"/>
      <w:smallCaps w:val="0"/>
      <w:color w:val="1E1E1E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rimson Pro" w:hAnsi="Crimson Pro" w:eastAsia="Crimson Pro" w:cs="Tiro Devanagari Hindi"/>
      <w:b w:val="0"/>
      <w:i/>
      <w:caps w:val="0"/>
      <w:smallCaps w:val="0"/>
      <w:color w:val="444444"/>
      <w:sz w:val="23"/>
      <w:szCs w:val="23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Accent Bar · Ruled Leaders — Architect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