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top w:val="single" w:sz="48" w:space="14" w:color="4C1D95"/>
        </w:pBdr>
        <w:spacing w:before="0"/>
      </w:pPr>
      <w:r>
        <w:t>Dr. Vivek Negi</w:t>
      </w:r>
    </w:p>
    <w:p>
      <w:pPr>
        <w:pStyle w:val="Role"/>
      </w:pPr>
      <w:r>
        <w:t>Scientist, Climate &amp; Water Resources</w:t>
      </w:r>
    </w:p>
    <w:p>
      <w:pPr>
        <w:pStyle w:val="Contact"/>
        <w:pBdr>
          <w:bottom w:val="single" w:sz="4" w:space="6" w:color="BBBBBB"/>
        </w:pBdr>
      </w:pPr>
      <w:r>
        <w:t>Dehradun, Uttarakhand</w:t>
      </w:r>
      <w:r>
        <w:rPr>
          <w:color w:val="4C1D95"/>
        </w:rPr>
        <w:t xml:space="preserve">   |   </w:t>
      </w:r>
      <w:r>
        <w:t>+91 94120 85237</w:t>
      </w:r>
      <w:r>
        <w:rPr>
          <w:color w:val="4C1D95"/>
        </w:rPr>
        <w:t xml:space="preserve">   |   </w:t>
      </w:r>
      <w:r>
        <w:t>vivek.negi@institute.edu</w:t>
      </w:r>
    </w:p>
    <w:p>
      <w:pPr>
        <w:pStyle w:val="SectionHeading"/>
        <w:pBdr>
          <w:top w:val="single" w:sz="8" w:space="4" w:color="4C1D95"/>
        </w:pBdr>
      </w:pPr>
      <w:r>
        <w:t>Profile</w:t>
      </w:r>
    </w:p>
    <w:p>
      <w:pPr>
        <w:pStyle w:val="Summary"/>
      </w:pPr>
      <w:r>
        <w:t>Hydrologist studying how retreating glaciers and changing monsoons affect springs and rivers in the Himalaya, and turning that science into village-level water plans.</w:t>
      </w:r>
    </w:p>
    <w:p>
      <w:pPr>
        <w:pStyle w:val="BodyText"/>
        <w:spacing w:before="80"/>
      </w:pPr>
      <w:r>
        <w:rPr>
          <w:b/>
          <w:bCs/>
          <w:color w:val="4C1D95"/>
        </w:rPr>
        <w:t xml:space="preserve">Research interests: </w:t>
      </w:r>
      <w:r>
        <w:t>Mountain hydrology · springshed management · climate adaptation · remote sensing</w:t>
      </w:r>
    </w:p>
    <w:p>
      <w:pPr>
        <w:pStyle w:val="SectionHeading"/>
        <w:pBdr>
          <w:top w:val="single" w:sz="8" w:space="4" w:color="4C1D95"/>
        </w:pBdr>
      </w:pPr>
      <w:r>
        <w:t>Education</w:t>
      </w:r>
    </w:p>
    <w:p>
      <w:pPr>
        <w:pStyle w:val="EntryTitle"/>
      </w:pPr>
      <w:r>
        <w:t>Ph.D., Environmental Science</w:t>
      </w:r>
      <w:r>
        <w:rPr>
          <w:b w:val="0"/>
          <w:i/>
          <w:color w:val="4C1D95"/>
          <w:sz w:val="16"/>
          <w:szCs w:val="17"/>
        </w:rPr>
        <w:t xml:space="preserve">  ·  2012 – 2017</w:t>
      </w:r>
    </w:p>
    <w:p>
      <w:pPr>
        <w:pStyle w:val="EntryMeta"/>
      </w:pPr>
      <w:r>
        <w:t>Doon Valley Institute of Earth Sciences</w:t>
      </w:r>
    </w:p>
    <w:p>
      <w:pPr>
        <w:pStyle w:val="BodyText"/>
      </w:pPr>
      <w:r>
        <w:t>Thesis: Spring discharge under a changing monsoon</w:t>
      </w:r>
    </w:p>
    <w:p>
      <w:pPr>
        <w:pStyle w:val="EntryTitle"/>
      </w:pPr>
      <w:r>
        <w:t>M.Sc., Environmental Science</w:t>
      </w:r>
      <w:r>
        <w:rPr>
          <w:b w:val="0"/>
          <w:i/>
          <w:color w:val="4C1D95"/>
          <w:sz w:val="16"/>
          <w:szCs w:val="17"/>
        </w:rPr>
        <w:t xml:space="preserve">  ·  2010 – 2012</w:t>
      </w:r>
    </w:p>
    <w:p>
      <w:pPr>
        <w:pStyle w:val="EntryMeta"/>
      </w:pPr>
      <w:r>
        <w:t>Garhwal Hills University</w:t>
      </w:r>
    </w:p>
    <w:p>
      <w:pPr>
        <w:pStyle w:val="EntryTitle"/>
      </w:pPr>
      <w:r>
        <w:t>B.Sc., Geology, Chemistry, Botany</w:t>
      </w:r>
      <w:r>
        <w:rPr>
          <w:b w:val="0"/>
          <w:i/>
          <w:color w:val="4C1D95"/>
          <w:sz w:val="16"/>
          <w:szCs w:val="17"/>
        </w:rPr>
        <w:t xml:space="preserve">  ·  2007 – 2010</w:t>
      </w:r>
    </w:p>
    <w:p>
      <w:pPr>
        <w:pStyle w:val="EntryMeta"/>
      </w:pPr>
      <w:r>
        <w:t>Garhwal Hills University</w:t>
      </w:r>
    </w:p>
    <w:p>
      <w:pPr>
        <w:pStyle w:val="SectionHeading"/>
        <w:pBdr>
          <w:top w:val="single" w:sz="8" w:space="4" w:color="4C1D95"/>
        </w:pBdr>
      </w:pPr>
      <w:r>
        <w:t>Research Experience</w:t>
      </w:r>
    </w:p>
    <w:p>
      <w:pPr>
        <w:pStyle w:val="EntryTitle"/>
      </w:pPr>
      <w:r>
        <w:t>Scientist C</w:t>
      </w:r>
      <w:r>
        <w:rPr>
          <w:b w:val="0"/>
          <w:i/>
          <w:color w:val="4C1D95"/>
          <w:sz w:val="16"/>
          <w:szCs w:val="17"/>
        </w:rPr>
        <w:t xml:space="preserve">  ·  2019 – Present</w:t>
      </w:r>
    </w:p>
    <w:p>
      <w:pPr>
        <w:pStyle w:val="EntryMeta"/>
      </w:pPr>
      <w:r>
        <w:t>Himalayan Institute of Environment and Development</w:t>
      </w:r>
    </w:p>
    <w:p>
      <w:pPr>
        <w:pStyle w:val="ResumeBullet"/>
      </w:pPr>
      <w:r>
        <w:t>Run a network of 140 monitored springs across 3 districts.</w:t>
      </w:r>
    </w:p>
    <w:p>
      <w:pPr>
        <w:pStyle w:val="ResumeBullet"/>
      </w:pPr>
      <w:r>
        <w:t>Co-designed springshed plans adopted by 60 village councils.</w:t>
      </w:r>
    </w:p>
    <w:p>
      <w:pPr>
        <w:pStyle w:val="EntryTitle"/>
      </w:pPr>
      <w:r>
        <w:t>Project Scientist</w:t>
      </w:r>
      <w:r>
        <w:rPr>
          <w:b w:val="0"/>
          <w:i/>
          <w:color w:val="4C1D95"/>
          <w:sz w:val="16"/>
          <w:szCs w:val="17"/>
        </w:rPr>
        <w:t xml:space="preserve">  ·  2017 – 2019</w:t>
      </w:r>
    </w:p>
    <w:p>
      <w:pPr>
        <w:pStyle w:val="EntryMeta"/>
      </w:pPr>
      <w:r>
        <w:t>Himalayan Institute of Environment and Development</w:t>
      </w:r>
    </w:p>
    <w:p>
      <w:pPr>
        <w:pStyle w:val="ResumeBullet"/>
      </w:pPr>
      <w:r>
        <w:t>Mapped glacier change for 12 basins from satellite data.</w:t>
      </w:r>
    </w:p>
    <w:p>
      <w:pPr>
        <w:pStyle w:val="SectionHeading"/>
        <w:pBdr>
          <w:top w:val="single" w:sz="8" w:space="4" w:color="4C1D95"/>
        </w:pBdr>
      </w:pPr>
      <w:r>
        <w:t>Publications</w:t>
      </w:r>
    </w:p>
    <w:p>
      <w:pPr>
        <w:pStyle w:val="Citation"/>
      </w:pPr>
      <w:r>
        <w:rPr>
          <w:b/>
          <w:bCs/>
          <w:color w:val="4C1D95"/>
        </w:rPr>
        <w:t xml:space="preserve">[1]  </w:t>
      </w:r>
      <w:r>
        <w:t xml:space="preserve">Rao, S., Fischer, A., </w:t>
      </w:r>
      <w:r>
        <w:rPr>
          <w:b/>
          <w:bCs/>
        </w:rPr>
        <w:t>Negi, V.</w:t>
      </w:r>
      <w:r>
        <w:t>, &amp; Chen, L.</w:t>
      </w:r>
      <w:r>
        <w:t xml:space="preserve"> (2026). Understanding groundwater recharge structures. </w:t>
      </w:r>
      <w:r>
        <w:rPr>
          <w:i/>
        </w:rPr>
        <w:t>Journal of Himalayan Environmental Studies</w:t>
      </w:r>
      <w:r>
        <w:t>, 9(7), 727–749.</w:t>
      </w:r>
    </w:p>
    <w:p>
      <w:pPr>
        <w:pStyle w:val="Citation"/>
      </w:pPr>
      <w:r>
        <w:rPr>
          <w:b/>
          <w:bCs/>
          <w:color w:val="4C1D95"/>
        </w:rPr>
        <w:t xml:space="preserve">[2]  </w:t>
      </w:r>
      <w:r>
        <w:t xml:space="preserve">Iyer, M., &amp; </w:t>
      </w:r>
      <w:r>
        <w:rPr>
          <w:b/>
          <w:bCs/>
        </w:rPr>
        <w:t>Negi, V.</w:t>
      </w:r>
      <w:r/>
      <w:r>
        <w:t xml:space="preserve"> (2026). New approaches to crop-residue burning and PM2.5. </w:t>
      </w:r>
      <w:r>
        <w:rPr>
          <w:i/>
        </w:rPr>
        <w:t>Proceedings of the Indian Ecology Congress</w:t>
      </w:r>
      <w:r>
        <w:t>, pp. 801–813.</w:t>
      </w:r>
    </w:p>
    <w:p>
      <w:pPr>
        <w:pStyle w:val="Citation"/>
      </w:pPr>
      <w:r>
        <w:rPr>
          <w:b/>
          <w:bCs/>
          <w:color w:val="4C1D95"/>
        </w:rPr>
        <w:t xml:space="preserve">[3]  </w:t>
      </w:r>
      <w:r>
        <w:t xml:space="preserve">Chen, L., Gupta, R., </w:t>
      </w:r>
      <w:r>
        <w:rPr>
          <w:b/>
          <w:bCs/>
        </w:rPr>
        <w:t>Negi, V.</w:t>
      </w:r>
      <w:r>
        <w:t>, &amp; Rao, S.</w:t>
      </w:r>
      <w:r>
        <w:t xml:space="preserve"> (2026). New approaches to mangrove restoration. </w:t>
      </w:r>
      <w:r>
        <w:rPr>
          <w:i/>
        </w:rPr>
        <w:t>Water Resources and Climate</w:t>
      </w:r>
      <w:r>
        <w:t>, 29(11), 559–572.</w:t>
      </w:r>
    </w:p>
    <w:p>
      <w:pPr>
        <w:pStyle w:val="Citation"/>
      </w:pPr>
      <w:r>
        <w:rPr>
          <w:b/>
          <w:bCs/>
          <w:color w:val="4C1D95"/>
        </w:rPr>
        <w:t xml:space="preserve">[4]  </w:t>
      </w:r>
      <w:r/>
      <w:r>
        <w:rPr>
          <w:b/>
          <w:bCs/>
        </w:rPr>
        <w:t>Negi, V.</w:t>
      </w:r>
      <w:r>
        <w:t>, &amp; Sato, Y.</w:t>
      </w:r>
      <w:r>
        <w:t xml:space="preserve"> (2025). Understanding groundwater recharge structures. </w:t>
      </w:r>
      <w:r>
        <w:rPr>
          <w:i/>
        </w:rPr>
        <w:t>Journal of Himalayan Environmental Studies</w:t>
      </w:r>
      <w:r>
        <w:t>, 6(3), 109–119.</w:t>
      </w:r>
    </w:p>
    <w:p>
      <w:pPr>
        <w:pStyle w:val="Citation"/>
      </w:pPr>
      <w:r>
        <w:rPr>
          <w:b/>
          <w:bCs/>
          <w:color w:val="4C1D95"/>
        </w:rPr>
        <w:t xml:space="preserve">[5]  </w:t>
      </w:r>
      <w:r/>
      <w:r>
        <w:rPr>
          <w:b/>
          <w:bCs/>
        </w:rPr>
        <w:t>Negi, V.</w:t>
      </w:r>
      <w:r>
        <w:t>, Banerjee, P., &amp; Menon, V.</w:t>
      </w:r>
      <w:r>
        <w:t xml:space="preserve"> (2025). Towards mangrove restoration. </w:t>
      </w:r>
      <w:r>
        <w:rPr>
          <w:i/>
        </w:rPr>
        <w:t>Journal of Himalayan Environmental Studies</w:t>
      </w:r>
      <w:r>
        <w:t>, 16(11), 734–755.</w:t>
      </w:r>
    </w:p>
    <w:p>
      <w:pPr>
        <w:pStyle w:val="Citation"/>
      </w:pPr>
      <w:r>
        <w:rPr>
          <w:b/>
          <w:bCs/>
          <w:color w:val="4C1D95"/>
        </w:rPr>
        <w:t xml:space="preserve">[6]  </w:t>
      </w:r>
      <w:r>
        <w:t xml:space="preserve">Mensah, K., Fischer, A., </w:t>
      </w:r>
      <w:r>
        <w:rPr>
          <w:b/>
          <w:bCs/>
        </w:rPr>
        <w:t>Negi, V.</w:t>
      </w:r>
      <w:r>
        <w:t>, &amp; Rao, S.</w:t>
      </w:r>
      <w:r>
        <w:t xml:space="preserve"> (2025). A study of glacier retreat and spring discharge. </w:t>
      </w:r>
      <w:r>
        <w:rPr>
          <w:i/>
        </w:rPr>
        <w:t>Air Quality Research Letters</w:t>
      </w:r>
      <w:r>
        <w:t>, 45(5), 382–390.</w:t>
      </w:r>
    </w:p>
    <w:p>
      <w:pPr>
        <w:pStyle w:val="Citation"/>
      </w:pPr>
      <w:r>
        <w:rPr>
          <w:b/>
          <w:bCs/>
          <w:color w:val="4C1D95"/>
        </w:rPr>
        <w:t xml:space="preserve">[7]  </w:t>
      </w:r>
      <w:r>
        <w:t xml:space="preserve">Sato, Y., Banerjee, P., Okafor, D., &amp; </w:t>
      </w:r>
      <w:r>
        <w:rPr>
          <w:b/>
          <w:bCs/>
        </w:rPr>
        <w:t>Negi, V.</w:t>
      </w:r>
      <w:r/>
      <w:r>
        <w:t xml:space="preserve"> (2024). Rethinking crop-residue burning and PM2.5. </w:t>
      </w:r>
      <w:r>
        <w:rPr>
          <w:i/>
        </w:rPr>
        <w:t>Proceedings of the Indian Ecology Congress</w:t>
      </w:r>
      <w:r>
        <w:t>, pp. 183–193.</w:t>
      </w:r>
    </w:p>
    <w:p>
      <w:pPr>
        <w:pStyle w:val="Citation"/>
      </w:pPr>
      <w:r>
        <w:rPr>
          <w:b/>
          <w:bCs/>
          <w:color w:val="4C1D95"/>
        </w:rPr>
        <w:t xml:space="preserve">[8]  </w:t>
      </w:r>
      <w:r/>
      <w:r>
        <w:rPr>
          <w:b/>
          <w:bCs/>
        </w:rPr>
        <w:t>Negi, V.</w:t>
      </w:r>
      <w:r>
        <w:t>, Mensah, K., Menon, V., &amp; Okafor, D.</w:t>
      </w:r>
      <w:r>
        <w:t xml:space="preserve"> (2024). Measuring wetland carbon storage. </w:t>
      </w:r>
      <w:r>
        <w:rPr>
          <w:i/>
        </w:rPr>
        <w:t>Water Resources and Climate</w:t>
      </w:r>
      <w:r>
        <w:t>, 36(1), 151–164.</w:t>
      </w:r>
    </w:p>
    <w:p>
      <w:pPr>
        <w:pStyle w:val="Citation"/>
      </w:pPr>
      <w:r>
        <w:rPr>
          <w:b/>
          <w:bCs/>
          <w:color w:val="4C1D95"/>
        </w:rPr>
        <w:t xml:space="preserve">[9]  </w:t>
      </w:r>
      <w:r>
        <w:t xml:space="preserve">Banerjee, P., Mensah, K., &amp; </w:t>
      </w:r>
      <w:r>
        <w:rPr>
          <w:b/>
          <w:bCs/>
        </w:rPr>
        <w:t>Negi, V.</w:t>
      </w:r>
      <w:r/>
      <w:r>
        <w:t xml:space="preserve"> (2024). Towards urban heat islands in tier-2 cities. </w:t>
      </w:r>
      <w:r>
        <w:rPr>
          <w:i/>
        </w:rPr>
        <w:t>Proceedings of the Indian Ecology Congress</w:t>
      </w:r>
      <w:r>
        <w:t>, pp. 618–631.</w:t>
      </w:r>
    </w:p>
    <w:p>
      <w:pPr>
        <w:pStyle w:val="Citation"/>
      </w:pPr>
      <w:r>
        <w:rPr>
          <w:b/>
          <w:bCs/>
          <w:color w:val="4C1D95"/>
        </w:rPr>
        <w:t xml:space="preserve">[10]  </w:t>
      </w:r>
      <w:r/>
      <w:r>
        <w:rPr>
          <w:b/>
          <w:bCs/>
        </w:rPr>
        <w:t>Negi, V.</w:t>
      </w:r>
      <w:r>
        <w:t>, Okafor, D., &amp; Kim, J.</w:t>
      </w:r>
      <w:r>
        <w:t xml:space="preserve"> (2023). New approaches to groundwater recharge structures. </w:t>
      </w:r>
      <w:r>
        <w:rPr>
          <w:i/>
        </w:rPr>
        <w:t>Air Quality Research Letters</w:t>
      </w:r>
      <w:r>
        <w:t>, 10(8), 432–444.</w:t>
      </w:r>
    </w:p>
    <w:p>
      <w:pPr>
        <w:pStyle w:val="Citation"/>
      </w:pPr>
      <w:r>
        <w:rPr>
          <w:b/>
          <w:bCs/>
          <w:color w:val="4C1D95"/>
        </w:rPr>
        <w:t xml:space="preserve">[11]  </w:t>
      </w:r>
      <w:r>
        <w:t xml:space="preserve">Gupta, R., </w:t>
      </w:r>
      <w:r>
        <w:rPr>
          <w:b/>
          <w:bCs/>
        </w:rPr>
        <w:t>Negi, V.</w:t>
      </w:r>
      <w:r>
        <w:t>, &amp; Menon, V.</w:t>
      </w:r>
      <w:r>
        <w:t xml:space="preserve"> (2023). Designing for urban heat islands in tier-2 cities. </w:t>
      </w:r>
      <w:r>
        <w:rPr>
          <w:i/>
        </w:rPr>
        <w:t>Air Quality Research Letters</w:t>
      </w:r>
      <w:r>
        <w:t>, 7(8), 604–618.</w:t>
      </w:r>
    </w:p>
    <w:p>
      <w:pPr>
        <w:pStyle w:val="Citation"/>
      </w:pPr>
      <w:r>
        <w:rPr>
          <w:b/>
          <w:bCs/>
          <w:color w:val="4C1D95"/>
        </w:rPr>
        <w:t xml:space="preserve">[12]  </w:t>
      </w:r>
      <w:r/>
      <w:r>
        <w:rPr>
          <w:b/>
          <w:bCs/>
        </w:rPr>
        <w:t>Negi, V.</w:t>
      </w:r>
      <w:r>
        <w:t>, Menon, V., Okafor, D., &amp; Fischer, A.</w:t>
      </w:r>
      <w:r>
        <w:t xml:space="preserve"> (2023). Evidence on crop-residue burning and PM2.5. </w:t>
      </w:r>
      <w:r>
        <w:rPr>
          <w:i/>
        </w:rPr>
        <w:t>Air Quality Research Letters</w:t>
      </w:r>
      <w:r>
        <w:t>, 31(6), 89–98.</w:t>
      </w:r>
    </w:p>
    <w:p>
      <w:pPr>
        <w:pStyle w:val="Citation"/>
      </w:pPr>
      <w:r>
        <w:rPr>
          <w:b/>
          <w:bCs/>
          <w:color w:val="4C1D95"/>
        </w:rPr>
        <w:t xml:space="preserve">[13]  </w:t>
      </w:r>
      <w:r>
        <w:t xml:space="preserve">Banerjee, P., Rao, S., </w:t>
      </w:r>
      <w:r>
        <w:rPr>
          <w:b/>
          <w:bCs/>
        </w:rPr>
        <w:t>Negi, V.</w:t>
      </w:r>
      <w:r>
        <w:t>, &amp; Chen, L.</w:t>
      </w:r>
      <w:r>
        <w:t xml:space="preserve"> (2022). Revisiting glacier retreat and spring discharge. </w:t>
      </w:r>
      <w:r>
        <w:rPr>
          <w:i/>
        </w:rPr>
        <w:t>Journal of Himalayan Environmental Studies</w:t>
      </w:r>
      <w:r>
        <w:t>, 14(4), 479–487.</w:t>
      </w:r>
    </w:p>
    <w:p>
      <w:pPr>
        <w:pStyle w:val="Citation"/>
      </w:pPr>
      <w:r>
        <w:rPr>
          <w:b/>
          <w:bCs/>
          <w:color w:val="4C1D95"/>
        </w:rPr>
        <w:t xml:space="preserve">[14]  </w:t>
      </w:r>
      <w:r>
        <w:t xml:space="preserve">Menon, V., &amp; </w:t>
      </w:r>
      <w:r>
        <w:rPr>
          <w:b/>
          <w:bCs/>
        </w:rPr>
        <w:t>Negi, V.</w:t>
      </w:r>
      <w:r/>
      <w:r>
        <w:t xml:space="preserve"> (2022). Towards groundwater recharge structures. </w:t>
      </w:r>
      <w:r>
        <w:rPr>
          <w:i/>
        </w:rPr>
        <w:t>Water Resources and Climate</w:t>
      </w:r>
      <w:r>
        <w:t>, 36(4), 767–779.</w:t>
      </w:r>
    </w:p>
    <w:p>
      <w:pPr>
        <w:pStyle w:val="Citation"/>
      </w:pPr>
      <w:r>
        <w:rPr>
          <w:b/>
          <w:bCs/>
          <w:color w:val="4C1D95"/>
        </w:rPr>
        <w:t xml:space="preserve">[15]  </w:t>
      </w:r>
      <w:r>
        <w:t xml:space="preserve">Rao, S., &amp; </w:t>
      </w:r>
      <w:r>
        <w:rPr>
          <w:b/>
          <w:bCs/>
        </w:rPr>
        <w:t>Negi, V.</w:t>
      </w:r>
      <w:r/>
      <w:r>
        <w:t xml:space="preserve"> (2022). Revisiting wetland carbon storage. </w:t>
      </w:r>
      <w:r>
        <w:rPr>
          <w:i/>
        </w:rPr>
        <w:t>Proceedings of the Indian Ecology Congress</w:t>
      </w:r>
      <w:r>
        <w:t>, pp. 810–819.</w:t>
      </w:r>
    </w:p>
    <w:p>
      <w:pPr>
        <w:pStyle w:val="Citation"/>
      </w:pPr>
      <w:r>
        <w:rPr>
          <w:b/>
          <w:bCs/>
          <w:color w:val="4C1D95"/>
        </w:rPr>
        <w:t xml:space="preserve">[16]  </w:t>
      </w:r>
      <w:r>
        <w:t xml:space="preserve">Haddad, N., </w:t>
      </w:r>
      <w:r>
        <w:rPr>
          <w:b/>
          <w:bCs/>
        </w:rPr>
        <w:t>Negi, V.</w:t>
      </w:r>
      <w:r>
        <w:t>, &amp; Sato, Y.</w:t>
      </w:r>
      <w:r>
        <w:t xml:space="preserve"> (2021). Scaling mangrove restoration. </w:t>
      </w:r>
      <w:r>
        <w:rPr>
          <w:i/>
        </w:rPr>
        <w:t>Journal of Himalayan Environmental Studies</w:t>
      </w:r>
      <w:r>
        <w:t>, 25(9), 761–773.</w:t>
      </w:r>
    </w:p>
    <w:p>
      <w:pPr>
        <w:pStyle w:val="SectionHeading"/>
        <w:pBdr>
          <w:top w:val="single" w:sz="8" w:space="4" w:color="4C1D95"/>
        </w:pBdr>
      </w:pPr>
      <w:r>
        <w:t>Conference Presentations &amp; Invited Talks</w:t>
      </w:r>
    </w:p>
    <w:p>
      <w:pPr>
        <w:pStyle w:val="ResumeBullet"/>
      </w:pPr>
      <w:r>
        <w:t>Invited talk: “Towards groundwater recharge structures”, Proceedings of the Indian Ecology Congress, Boston, 2026.</w:t>
      </w:r>
    </w:p>
    <w:p>
      <w:pPr>
        <w:pStyle w:val="ResumeBullet"/>
      </w:pPr>
      <w:r>
        <w:t>Seminar: “Scaling crop-residue burning and PM2.5”, Water Resources and Climate, New Delhi, 2026.</w:t>
      </w:r>
    </w:p>
    <w:p>
      <w:pPr>
        <w:pStyle w:val="ResumeBullet"/>
      </w:pPr>
      <w:r>
        <w:t>Poster: “Scaling crop-residue burning and PM2.5”, Proceedings of the Indian Ecology Congress, Bengaluru, 2025.</w:t>
      </w:r>
    </w:p>
    <w:p>
      <w:pPr>
        <w:pStyle w:val="ResumeBullet"/>
      </w:pPr>
      <w:r>
        <w:t>Seminar: “Scaling glacier retreat and spring discharge”, Water Resources and Climate, Melbourne, 2025.</w:t>
      </w:r>
    </w:p>
    <w:p>
      <w:pPr>
        <w:pStyle w:val="ResumeBullet"/>
      </w:pPr>
      <w:r>
        <w:t>Invited talk: “Measuring groundwater recharge structures”, Symposium on Himalayan Environmental Studies, Berlin, 2024.</w:t>
      </w:r>
    </w:p>
    <w:p>
      <w:pPr>
        <w:pStyle w:val="ResumeBullet"/>
      </w:pPr>
      <w:r>
        <w:t>Seminar: “Towards wetland carbon storage”, Water Resources and Climate, Boston, 2024.</w:t>
      </w:r>
    </w:p>
    <w:p>
      <w:pPr>
        <w:pStyle w:val="SectionHeading"/>
        <w:pBdr>
          <w:top w:val="single" w:sz="8" w:space="4" w:color="4C1D95"/>
        </w:pBdr>
      </w:pPr>
      <w:r>
        <w:t>Teaching</w:t>
      </w:r>
    </w:p>
    <w:p>
      <w:pPr>
        <w:pStyle w:val="ResumeBullet"/>
      </w:pPr>
      <w:r>
        <w:t>Guest lectures in hydrology for M.Sc. students (2019–present)</w:t>
      </w:r>
    </w:p>
    <w:p>
      <w:pPr>
        <w:pStyle w:val="ResumeBullet"/>
      </w:pPr>
      <w:r>
        <w:t>Training of 200 para-hydrogeologists from local communities</w:t>
      </w:r>
    </w:p>
    <w:p>
      <w:pPr>
        <w:pStyle w:val="SectionHeading"/>
        <w:pBdr>
          <w:top w:val="single" w:sz="8" w:space="4" w:color="4C1D95"/>
        </w:pBdr>
      </w:pPr>
      <w:r>
        <w:t>Grants, Awards &amp; Honours</w:t>
      </w:r>
    </w:p>
    <w:p>
      <w:pPr>
        <w:pStyle w:val="ResumeBullet"/>
      </w:pPr>
      <w:r>
        <w:t>Co-PI, national mission on Himalayan ecosystems (2020–2025), ₹2.3 crore</w:t>
      </w:r>
    </w:p>
    <w:p>
      <w:pPr>
        <w:pStyle w:val="ResumeBullet"/>
      </w:pPr>
      <w:r>
        <w:t>Young Scientist Award, state science council (2021)</w:t>
      </w:r>
    </w:p>
    <w:p>
      <w:pPr>
        <w:pStyle w:val="SectionHeading"/>
        <w:pBdr>
          <w:top w:val="single" w:sz="8" w:space="4" w:color="4C1D95"/>
        </w:pBdr>
      </w:pPr>
      <w:r>
        <w:t>Professional Service</w:t>
      </w:r>
    </w:p>
    <w:p>
      <w:pPr>
        <w:pStyle w:val="ResumeBullet"/>
      </w:pPr>
      <w:r>
        <w:t>Member, state expert committee on springs (2022–present)</w:t>
      </w:r>
    </w:p>
    <w:p>
      <w:pPr>
        <w:pStyle w:val="ResumeBullet"/>
      </w:pPr>
      <w:r>
        <w:t>Reviewer, Water Resources and Climate</w:t>
      </w:r>
    </w:p>
    <w:p>
      <w:pPr>
        <w:pStyle w:val="SectionHeading"/>
        <w:pBdr>
          <w:top w:val="single" w:sz="8" w:space="4" w:color="4C1D95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Field: </w:t>
      </w:r>
      <w:r>
        <w:t>Discharge measurement, isotope sampling, hydrogeological mapping</w:t>
      </w:r>
    </w:p>
    <w:p>
      <w:pPr>
        <w:pStyle w:val="BodyText"/>
      </w:pPr>
      <w:r>
        <w:rPr>
          <w:b/>
          <w:bCs/>
        </w:rPr>
        <w:t xml:space="preserve">Analysis: </w:t>
      </w:r>
      <w:r>
        <w:t>QGIS, Google Earth Engine, R, SWAT model</w:t>
      </w:r>
    </w:p>
    <w:p>
      <w:pPr>
        <w:pStyle w:val="BodyText"/>
      </w:pPr>
      <w:r>
        <w:rPr>
          <w:b/>
          <w:bCs/>
        </w:rPr>
        <w:t xml:space="preserve">Languages: </w:t>
      </w:r>
      <w:r>
        <w:t>Garhwali (native), Hindi, English</w:t>
      </w:r>
    </w:p>
    <w:p>
      <w:pPr>
        <w:pStyle w:val="SectionHeading"/>
        <w:pBdr>
          <w:top w:val="single" w:sz="8" w:space="4" w:color="4C1D95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Dr. P. Rawat</w:t>
      </w:r>
    </w:p>
    <w:p>
      <w:pPr>
        <w:pStyle w:val="BodyText"/>
        <w:keepNext/>
        <w:spacing w:after="0"/>
      </w:pPr>
      <w:r>
        <w:t>Director, Himalayan Institute of Environment and Development</w:t>
      </w:r>
    </w:p>
    <w:p>
      <w:pPr>
        <w:pStyle w:val="BodyText"/>
        <w:spacing w:after="100"/>
      </w:pPr>
      <w:r>
        <w:t>p.rawat@institute.edu</w:t>
      </w:r>
    </w:p>
    <w:p>
      <w:pPr>
        <w:pStyle w:val="BodyText"/>
        <w:keepNext/>
        <w:spacing w:after="0"/>
      </w:pPr>
      <w:r>
        <w:rPr>
          <w:b/>
          <w:bCs/>
        </w:rPr>
        <w:t>Prof. L. Joshi</w:t>
      </w:r>
    </w:p>
    <w:p>
      <w:pPr>
        <w:pStyle w:val="BodyText"/>
        <w:keepNext/>
        <w:spacing w:after="0"/>
      </w:pPr>
      <w:r>
        <w:t>Professor, Doon Valley Institute of Earth Sciences</w:t>
      </w:r>
    </w:p>
    <w:p>
      <w:pPr>
        <w:pStyle w:val="BodyText"/>
        <w:spacing w:after="100"/>
      </w:pPr>
      <w:r>
        <w:t>l.joshi@institute.edu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Dr. Vivek Negi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›"/>
      <w:lvlJc w:val="left"/>
      <w:pPr>
        <w:ind w:left="283" w:hanging="227"/>
      </w:pPr>
      <w:rPr>
        <w:rFonts w:ascii="Arial" w:hAnsi="Arial" w:cs="Arial" w:hint="default"/>
        <w:color w:val="4C1D9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Work Sans" w:hAnsi="Work Sans" w:eastAsia="Work Sans" w:cs="Mukta"/>
      <w:color w:val="1E1E1E"/>
      <w:sz w:val="17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EB Garamond" w:hAnsi="EB Garamond" w:eastAsia="EB Garamond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Work Sans" w:hAnsi="Work Sans" w:eastAsia="Work Sans" w:cs="Mukta"/>
      <w:b w:val="0"/>
      <w:i w:val="0"/>
      <w:caps w:val="0"/>
      <w:smallCaps w:val="0"/>
      <w:color w:val="555555"/>
      <w:sz w:val="15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EB Garamond" w:hAnsi="EB Garamond" w:eastAsia="EB Garamond" w:cs="Mukta"/>
      <w:b/>
      <w:bCs/>
      <w:i w:val="0"/>
      <w:caps/>
      <w:smallCaps w:val="0"/>
      <w:color w:val="4C1D95"/>
      <w:spacing w:val="28"/>
      <w:sz w:val="20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Work Sans" w:hAnsi="Work Sans" w:eastAsia="Work Sans" w:cs="Mukta"/>
      <w:b/>
      <w:bCs/>
      <w:i w:val="0"/>
      <w:caps w:val="0"/>
      <w:smallCaps w:val="0"/>
      <w:color w:val="1E1E1E"/>
      <w:sz w:val="17"/>
      <w:szCs w:val="18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Work Sans" w:hAnsi="Work Sans" w:eastAsia="Work Sans" w:cs="Mukta"/>
      <w:b w:val="0"/>
      <w:i/>
      <w:caps w:val="0"/>
      <w:smallCaps w:val="0"/>
      <w:color w:val="444444"/>
      <w:sz w:val="17"/>
      <w:szCs w:val="18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Work Sans" w:hAnsi="Work Sans" w:eastAsia="Work Sans" w:cs="Mukta"/>
      <w:b w:val="0"/>
      <w:i w:val="0"/>
      <w:caps w:val="0"/>
      <w:smallCaps w:val="0"/>
      <w:color w:val="1E1E1E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Work Sans" w:hAnsi="Work Sans" w:eastAsia="Work Sans" w:cs="Mukta"/>
      <w:b w:val="0"/>
      <w:i w:val="0"/>
      <w:caps w:val="0"/>
      <w:smallCaps w:val="0"/>
      <w:color w:val="1E1E1E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Strip · Overline Rules — Environmental Scientist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