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rPr>
          <w:b w:val="0"/>
          <w:color w:val="1E1E1E"/>
        </w:rPr>
        <w:t xml:space="preserve">Dr. Harpreet Kaur </w:t>
      </w:r>
      <w:r>
        <w:rPr>
          <w:b/>
          <w:bCs/>
          <w:color w:val="0F172A"/>
        </w:rPr>
        <w:t>Gill</w:t>
      </w:r>
    </w:p>
    <w:p>
      <w:pPr>
        <w:pStyle w:val="Role"/>
      </w:pPr>
      <w:r>
        <w:t>Principal Scientist, Agronomy</w:t>
      </w:r>
    </w:p>
    <w:p>
      <w:pPr>
        <w:pStyle w:val="Contact"/>
      </w:pPr>
      <w:r>
        <w:t>Ludhiana, Punjab</w:t>
      </w:r>
      <w:r>
        <w:rPr>
          <w:color w:val="0F172A"/>
        </w:rPr>
        <w:t xml:space="preserve">  /  </w:t>
      </w:r>
      <w:r>
        <w:t>+91 98140 26375</w:t>
      </w:r>
      <w:r>
        <w:rPr>
          <w:color w:val="0F172A"/>
        </w:rPr>
        <w:t xml:space="preserve">  /  </w:t>
      </w:r>
      <w:r>
        <w:t>harpreet.gill@agriuniv.edu</w:t>
      </w:r>
    </w:p>
    <w:p>
      <w:pPr>
        <w:pStyle w:val="SectionHeading"/>
      </w:pPr>
      <w:r>
        <w:t>01   Education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8"/>
          <w:szCs w:val="18"/>
        </w:rPr>
        <w:t>2005 – 2009</w:t>
      </w:r>
      <w:r>
        <w:tab/>
      </w:r>
      <w:r>
        <w:t>Ph.D., Agronomy</w:t>
      </w:r>
    </w:p>
    <w:p>
      <w:pPr>
        <w:pStyle w:val="EntryMeta"/>
        <w:ind w:left="1531" w:right="0"/>
      </w:pPr>
      <w:r>
        <w:t>Punjab Plains Agricultural University</w:t>
      </w:r>
    </w:p>
    <w:p>
      <w:pPr>
        <w:pStyle w:val="BodyText"/>
        <w:ind w:left="1531" w:right="0"/>
      </w:pPr>
      <w:r>
        <w:t>Thesis: Zero tillage wheat after rice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8"/>
          <w:szCs w:val="18"/>
        </w:rPr>
        <w:t>2003 – 2005</w:t>
      </w:r>
      <w:r>
        <w:tab/>
      </w:r>
      <w:r>
        <w:t>M.Sc. (Agri.), Agronomy</w:t>
      </w:r>
    </w:p>
    <w:p>
      <w:pPr>
        <w:pStyle w:val="EntryMeta"/>
        <w:ind w:left="1531" w:right="0"/>
      </w:pPr>
      <w:r>
        <w:t>Punjab Plains Agricultural University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8"/>
          <w:szCs w:val="18"/>
        </w:rPr>
        <w:t>1999 – 2003</w:t>
      </w:r>
      <w:r>
        <w:tab/>
      </w:r>
      <w:r>
        <w:t>B.Sc. (Agri.) Hons.</w:t>
      </w:r>
    </w:p>
    <w:p>
      <w:pPr>
        <w:pStyle w:val="EntryMeta"/>
        <w:ind w:left="1531" w:right="0"/>
      </w:pPr>
      <w:r>
        <w:t>Punjab Plains Agricultural University</w:t>
      </w:r>
    </w:p>
    <w:p>
      <w:pPr>
        <w:pStyle w:val="SectionHeading"/>
      </w:pPr>
      <w:r>
        <w:t>02   Research Experience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8"/>
          <w:szCs w:val="18"/>
        </w:rPr>
        <w:t>2018 – Present</w:t>
      </w:r>
      <w:r>
        <w:tab/>
      </w:r>
      <w:r>
        <w:t>Principal Scientist</w:t>
      </w:r>
    </w:p>
    <w:p>
      <w:pPr>
        <w:pStyle w:val="EntryMeta"/>
        <w:ind w:left="1531" w:right="0"/>
      </w:pPr>
      <w:r>
        <w:t>Department of Agronomy, Punjab Plains Agricultural University</w:t>
      </w:r>
    </w:p>
    <w:p>
      <w:pPr>
        <w:pStyle w:val="ResumeBullet"/>
      </w:pPr>
      <w:r>
        <w:t>Lead residue-management trials on 400 farmer fields; in-situ mulching adopted on 1.2 lakh hectares (sample data).</w:t>
      </w:r>
    </w:p>
    <w:p>
      <w:pPr>
        <w:pStyle w:val="ResumeBullet"/>
      </w:pPr>
      <w:r>
        <w:t>Released 3 recommendations in the state package of practices.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8"/>
          <w:szCs w:val="18"/>
        </w:rPr>
        <w:t>2010 – 2018</w:t>
      </w:r>
      <w:r>
        <w:tab/>
      </w:r>
      <w:r>
        <w:t>Senior Agronomist</w:t>
      </w:r>
    </w:p>
    <w:p>
      <w:pPr>
        <w:pStyle w:val="EntryMeta"/>
        <w:ind w:left="1531" w:right="0"/>
      </w:pPr>
      <w:r>
        <w:t>Punjab Plains Agricultural University</w:t>
      </w:r>
    </w:p>
    <w:p>
      <w:pPr>
        <w:pStyle w:val="ResumeBullet"/>
      </w:pPr>
      <w:r>
        <w:t>Direct-seeded rice trials that cut irrigation water by about 25%.</w:t>
      </w:r>
    </w:p>
    <w:p>
      <w:pPr>
        <w:pStyle w:val="SectionHeading"/>
      </w:pPr>
      <w:r>
        <w:t>03   Grants, Awards &amp; Honours</w:t>
      </w:r>
    </w:p>
    <w:p>
      <w:pPr>
        <w:pStyle w:val="ResumeBullet"/>
      </w:pPr>
      <w:r>
        <w:t>PI, national climate-resilient agriculture project (2019–2024), ₹1.1 crore</w:t>
      </w:r>
    </w:p>
    <w:p>
      <w:pPr>
        <w:pStyle w:val="ResumeBullet"/>
      </w:pPr>
      <w:r>
        <w:t>Best Extension Scientist Award, state agriculture department (2022)</w:t>
      </w:r>
    </w:p>
    <w:p>
      <w:pPr>
        <w:pStyle w:val="SectionHeading"/>
      </w:pPr>
      <w:r>
        <w:t>04   Publications</w:t>
      </w:r>
    </w:p>
    <w:p>
      <w:pPr>
        <w:pStyle w:val="Citation"/>
      </w:pPr>
      <w:r/>
      <w:r>
        <w:rPr>
          <w:b/>
          <w:bCs/>
        </w:rPr>
        <w:t>Gill, H. K.</w:t>
      </w:r>
      <w:r>
        <w:t>, &amp; Banerjee, P.</w:t>
      </w:r>
      <w:r>
        <w:t xml:space="preserve"> (2026). Measuring farmer producer organisations. </w:t>
      </w:r>
      <w:r>
        <w:rPr>
          <w:i/>
        </w:rPr>
        <w:t>Crop Improvement Letters</w:t>
      </w:r>
      <w:r>
        <w:t>, 7(7), 118–140.</w:t>
      </w:r>
    </w:p>
    <w:p>
      <w:pPr>
        <w:pStyle w:val="Citation"/>
      </w:pPr>
      <w:r>
        <w:t xml:space="preserve">Menon, V., </w:t>
      </w:r>
      <w:r>
        <w:rPr>
          <w:b/>
          <w:bCs/>
        </w:rPr>
        <w:t>Gill, H. K.</w:t>
      </w:r>
      <w:r>
        <w:t>, Sato, Y., &amp; Gupta, R.</w:t>
      </w:r>
      <w:r>
        <w:t xml:space="preserve"> (2026). Designing for integrated pest management in cotton. </w:t>
      </w:r>
      <w:r>
        <w:rPr>
          <w:i/>
        </w:rPr>
        <w:t>Crop Improvement Letters</w:t>
      </w:r>
      <w:r>
        <w:t>, 5(1), 166–183.</w:t>
      </w:r>
    </w:p>
    <w:p>
      <w:pPr>
        <w:pStyle w:val="Citation"/>
      </w:pPr>
      <w:r>
        <w:t xml:space="preserve">Sato, Y., Menon, V., </w:t>
      </w:r>
      <w:r>
        <w:rPr>
          <w:b/>
          <w:bCs/>
        </w:rPr>
        <w:t>Gill, H. K.</w:t>
      </w:r>
      <w:r>
        <w:t>, &amp; Rao, S.</w:t>
      </w:r>
      <w:r>
        <w:t xml:space="preserve"> (2026). Revisiting drought-tolerant millet varieties. </w:t>
      </w:r>
      <w:r>
        <w:rPr>
          <w:i/>
        </w:rPr>
        <w:t>Proceedings of the National Symposium on Dryland Farming</w:t>
      </w:r>
      <w:r>
        <w:t>, pp. 628–639.</w:t>
      </w:r>
    </w:p>
    <w:p>
      <w:pPr>
        <w:pStyle w:val="Citation"/>
      </w:pPr>
      <w:r>
        <w:t xml:space="preserve">Haddad, N., &amp; </w:t>
      </w:r>
      <w:r>
        <w:rPr>
          <w:b/>
          <w:bCs/>
        </w:rPr>
        <w:t>Gill, H. K.</w:t>
      </w:r>
      <w:r/>
      <w:r>
        <w:t xml:space="preserve"> (2025). Designing for drought-tolerant millet varieties. </w:t>
      </w:r>
      <w:r>
        <w:rPr>
          <w:i/>
        </w:rPr>
        <w:t>Indian Journal of Agronomy and Soil Science</w:t>
      </w:r>
      <w:r>
        <w:t>, 25(8), 228–240.</w:t>
      </w:r>
    </w:p>
    <w:p>
      <w:pPr>
        <w:pStyle w:val="Citation"/>
      </w:pPr>
      <w:r/>
      <w:r>
        <w:rPr>
          <w:b/>
          <w:bCs/>
        </w:rPr>
        <w:t>Gill, H. K.</w:t>
      </w:r>
      <w:r>
        <w:t>, &amp; Sato, Y.</w:t>
      </w:r>
      <w:r>
        <w:t xml:space="preserve"> (2025). Designing for soil organic carbon under zero tillage. </w:t>
      </w:r>
      <w:r>
        <w:rPr>
          <w:i/>
        </w:rPr>
        <w:t>Journal of Agricultural Extension</w:t>
      </w:r>
      <w:r>
        <w:t>, 22(12), 866–883.</w:t>
      </w:r>
    </w:p>
    <w:p>
      <w:pPr>
        <w:pStyle w:val="Citation"/>
      </w:pPr>
      <w:r>
        <w:t xml:space="preserve">Sato, Y., Chen, L., Kim, J., &amp; </w:t>
      </w:r>
      <w:r>
        <w:rPr>
          <w:b/>
          <w:bCs/>
        </w:rPr>
        <w:t>Gill, H. K.</w:t>
      </w:r>
      <w:r/>
      <w:r>
        <w:t xml:space="preserve"> (2025). Designing for micro-irrigation for smallholders. </w:t>
      </w:r>
      <w:r>
        <w:rPr>
          <w:i/>
        </w:rPr>
        <w:t>Proceedings of the National Symposium on Dryland Farming</w:t>
      </w:r>
      <w:r>
        <w:t>, pp. 181–194.</w:t>
      </w:r>
    </w:p>
    <w:p>
      <w:pPr>
        <w:pStyle w:val="Citation"/>
      </w:pPr>
      <w:r/>
      <w:r>
        <w:rPr>
          <w:b/>
          <w:bCs/>
        </w:rPr>
        <w:t>Gill, H. K.</w:t>
      </w:r>
      <w:r>
        <w:t>, &amp; Mensah, K.</w:t>
      </w:r>
      <w:r>
        <w:t xml:space="preserve"> (2024). Rethinking drought-tolerant millet varieties. </w:t>
      </w:r>
      <w:r>
        <w:rPr>
          <w:i/>
        </w:rPr>
        <w:t>Journal of Agricultural Extension</w:t>
      </w:r>
      <w:r>
        <w:t>, 25(5), 681–690.</w:t>
      </w:r>
    </w:p>
    <w:p>
      <w:pPr>
        <w:pStyle w:val="Citation"/>
      </w:pPr>
      <w:r>
        <w:t xml:space="preserve">Okafor, D., Mensah, K., &amp; </w:t>
      </w:r>
      <w:r>
        <w:rPr>
          <w:b/>
          <w:bCs/>
        </w:rPr>
        <w:t>Gill, H. K.</w:t>
      </w:r>
      <w:r/>
      <w:r>
        <w:t xml:space="preserve"> (2024). Scaling drought-tolerant millet varieties. </w:t>
      </w:r>
      <w:r>
        <w:rPr>
          <w:i/>
        </w:rPr>
        <w:t>Crop Improvement Letters</w:t>
      </w:r>
      <w:r>
        <w:t>, 41(1), 146–166.</w:t>
      </w:r>
    </w:p>
    <w:p>
      <w:pPr>
        <w:pStyle w:val="Citation"/>
      </w:pPr>
      <w:r>
        <w:t xml:space="preserve">Banerjee, P., Iyer, M., &amp; </w:t>
      </w:r>
      <w:r>
        <w:rPr>
          <w:b/>
          <w:bCs/>
        </w:rPr>
        <w:t>Gill, H. K.</w:t>
      </w:r>
      <w:r/>
      <w:r>
        <w:t xml:space="preserve"> (2024). Evidence on soil organic carbon under zero tillage. </w:t>
      </w:r>
      <w:r>
        <w:rPr>
          <w:i/>
        </w:rPr>
        <w:t>Proceedings of the National Symposium on Dryland Farming</w:t>
      </w:r>
      <w:r>
        <w:t>, pp. 24–38.</w:t>
      </w:r>
    </w:p>
    <w:p>
      <w:pPr>
        <w:pStyle w:val="Citation"/>
      </w:pPr>
      <w:r>
        <w:t xml:space="preserve">Sato, Y., </w:t>
      </w:r>
      <w:r>
        <w:rPr>
          <w:b/>
          <w:bCs/>
        </w:rPr>
        <w:t>Gill, H. K.</w:t>
      </w:r>
      <w:r>
        <w:t>, &amp; Rao, S.</w:t>
      </w:r>
      <w:r>
        <w:t xml:space="preserve"> (2023). Revisiting biofortified wheat trials. </w:t>
      </w:r>
      <w:r>
        <w:rPr>
          <w:i/>
        </w:rPr>
        <w:t>Crop Improvement Letters</w:t>
      </w:r>
      <w:r>
        <w:t>, 20(10), 21–39.</w:t>
      </w:r>
    </w:p>
    <w:p>
      <w:pPr>
        <w:pStyle w:val="Citation"/>
      </w:pPr>
      <w:r>
        <w:t xml:space="preserve">Sato, Y., </w:t>
      </w:r>
      <w:r>
        <w:rPr>
          <w:b/>
          <w:bCs/>
        </w:rPr>
        <w:t>Gill, H. K.</w:t>
      </w:r>
      <w:r>
        <w:t>, &amp; Haddad, N.</w:t>
      </w:r>
      <w:r>
        <w:t xml:space="preserve"> (2023). Measuring soil organic carbon under zero tillage. </w:t>
      </w:r>
      <w:r>
        <w:rPr>
          <w:i/>
        </w:rPr>
        <w:t>Crop Improvement Letters</w:t>
      </w:r>
      <w:r>
        <w:t>, 30(6), 16–25.</w:t>
      </w:r>
    </w:p>
    <w:p>
      <w:pPr>
        <w:pStyle w:val="Citation"/>
      </w:pPr>
      <w:r>
        <w:t xml:space="preserve">Kim, J., Sato, Y., &amp; </w:t>
      </w:r>
      <w:r>
        <w:rPr>
          <w:b/>
          <w:bCs/>
        </w:rPr>
        <w:t>Gill, H. K.</w:t>
      </w:r>
      <w:r/>
      <w:r>
        <w:t xml:space="preserve"> (2023). New approaches to integrated pest management in cotton. </w:t>
      </w:r>
      <w:r>
        <w:rPr>
          <w:i/>
        </w:rPr>
        <w:t>Crop Improvement Letters</w:t>
      </w:r>
      <w:r>
        <w:t>, 27(8), 391–402.</w:t>
      </w:r>
    </w:p>
    <w:p>
      <w:pPr>
        <w:pStyle w:val="Citation"/>
      </w:pPr>
      <w:r>
        <w:t xml:space="preserve">Sato, Y., </w:t>
      </w:r>
      <w:r>
        <w:rPr>
          <w:b/>
          <w:bCs/>
        </w:rPr>
        <w:t>Gill, H. K.</w:t>
      </w:r>
      <w:r>
        <w:t>, &amp; Gupta, R.</w:t>
      </w:r>
      <w:r>
        <w:t xml:space="preserve"> (2022). Understanding biofortified wheat trials. </w:t>
      </w:r>
      <w:r>
        <w:rPr>
          <w:i/>
        </w:rPr>
        <w:t>Indian Journal of Agronomy and Soil Science</w:t>
      </w:r>
      <w:r>
        <w:t>, 42(4), 860–874.</w:t>
      </w:r>
    </w:p>
    <w:p>
      <w:pPr>
        <w:pStyle w:val="Citation"/>
      </w:pPr>
      <w:r>
        <w:t xml:space="preserve">Chen, L., Iyer, M., Kim, J., &amp; </w:t>
      </w:r>
      <w:r>
        <w:rPr>
          <w:b/>
          <w:bCs/>
        </w:rPr>
        <w:t>Gill, H. K.</w:t>
      </w:r>
      <w:r/>
      <w:r>
        <w:t xml:space="preserve"> (2022). Measuring integrated pest management in cotton. </w:t>
      </w:r>
      <w:r>
        <w:rPr>
          <w:i/>
        </w:rPr>
        <w:t>Journal of Agricultural Extension</w:t>
      </w:r>
      <w:r>
        <w:t>, 25(7), 730–744.</w:t>
      </w:r>
    </w:p>
    <w:p>
      <w:pPr>
        <w:pStyle w:val="Citation"/>
      </w:pPr>
      <w:r>
        <w:t xml:space="preserve">Chen, L., &amp; </w:t>
      </w:r>
      <w:r>
        <w:rPr>
          <w:b/>
          <w:bCs/>
        </w:rPr>
        <w:t>Gill, H. K.</w:t>
      </w:r>
      <w:r/>
      <w:r>
        <w:t xml:space="preserve"> (2022). Scaling integrated pest management in cotton. </w:t>
      </w:r>
      <w:r>
        <w:rPr>
          <w:i/>
        </w:rPr>
        <w:t>Journal of Agricultural Extension</w:t>
      </w:r>
      <w:r>
        <w:t>, 37(7), 770–781.</w:t>
      </w:r>
    </w:p>
    <w:p>
      <w:pPr>
        <w:pStyle w:val="SectionHeading"/>
      </w:pPr>
      <w:r>
        <w:t>05   Conference Presentations &amp; Invited Talks</w:t>
      </w:r>
    </w:p>
    <w:p>
      <w:pPr>
        <w:pStyle w:val="ResumeBullet"/>
      </w:pPr>
      <w:r>
        <w:t>Invited talk: “Revisiting biofortified wheat trials”, Indian Symposium on Agronomy and Soil Science, Kyoto, 2026.</w:t>
      </w:r>
    </w:p>
    <w:p>
      <w:pPr>
        <w:pStyle w:val="ResumeBullet"/>
      </w:pPr>
      <w:r>
        <w:t>Poster: “Designing for biofortified wheat trials”, Proceedings of the National Symposium on Dryland Farming, Berlin, 2026.</w:t>
      </w:r>
    </w:p>
    <w:p>
      <w:pPr>
        <w:pStyle w:val="ResumeBullet"/>
      </w:pPr>
      <w:r>
        <w:t>Poster: “Scaling integrated pest management in cotton”, Proceedings of the National Symposium on Dryland Farming, Singapore, 2025.</w:t>
      </w:r>
    </w:p>
    <w:p>
      <w:pPr>
        <w:pStyle w:val="ResumeBullet"/>
      </w:pPr>
      <w:r>
        <w:t>Poster: “Towards soil organic carbon under zero tillage”, Proceedings of the National Symposium on Dryland Farming, Hyderabad, 2025.</w:t>
      </w:r>
    </w:p>
    <w:p>
      <w:pPr>
        <w:pStyle w:val="ResumeBullet"/>
      </w:pPr>
      <w:r>
        <w:t>Contributed talk: “Rethinking biofortified wheat trials”, Indian Symposium on Agronomy and Soil Science, Chennai, 2024.</w:t>
      </w:r>
    </w:p>
    <w:p>
      <w:pPr>
        <w:pStyle w:val="SectionHeading"/>
      </w:pPr>
      <w:r>
        <w:t>06   Teaching</w:t>
      </w:r>
    </w:p>
    <w:p>
      <w:pPr>
        <w:pStyle w:val="ResumeBullet"/>
      </w:pPr>
      <w:r>
        <w:t>Principles of Agronomy (B.Sc. Agri.)</w:t>
      </w:r>
    </w:p>
    <w:p>
      <w:pPr>
        <w:pStyle w:val="ResumeBullet"/>
      </w:pPr>
      <w:r>
        <w:t>Conservation Agriculture (M.Sc.)</w:t>
      </w:r>
    </w:p>
    <w:p>
      <w:pPr>
        <w:pStyle w:val="ResumeBullet"/>
      </w:pPr>
      <w:r>
        <w:t>Farmer field schools in 18 villages each season</w:t>
      </w:r>
    </w:p>
    <w:p>
      <w:pPr>
        <w:pStyle w:val="SectionHeading"/>
      </w:pPr>
      <w:r>
        <w:t>07   Professional Service</w:t>
      </w:r>
    </w:p>
    <w:p>
      <w:pPr>
        <w:pStyle w:val="ResumeBullet"/>
      </w:pPr>
      <w:r>
        <w:t>Member, state committee on crop-residue burning (2020–present)</w:t>
      </w:r>
    </w:p>
    <w:p>
      <w:pPr>
        <w:pStyle w:val="ResumeBullet"/>
      </w:pPr>
      <w:r>
        <w:t>Kisan mela organiser, twice a year since 2012</w:t>
      </w:r>
    </w:p>
    <w:p>
      <w:pPr>
        <w:pStyle w:val="SectionHeading"/>
      </w:pPr>
      <w:r>
        <w:t>08   Skills</w:t>
      </w:r>
    </w:p>
    <w:p>
      <w:pPr>
        <w:pStyle w:val="BodyText"/>
        <w:ind w:left="1531" w:right="0"/>
      </w:pPr>
      <w:r>
        <w:rPr>
          <w:b/>
          <w:bCs/>
        </w:rPr>
        <w:t xml:space="preserve">Field: </w:t>
      </w:r>
      <w:r>
        <w:t>Experimental design, soil and plant analysis, on-farm trials</w:t>
      </w:r>
    </w:p>
    <w:p>
      <w:pPr>
        <w:pStyle w:val="BodyText"/>
        <w:ind w:left="1531" w:right="0"/>
      </w:pPr>
      <w:r>
        <w:rPr>
          <w:b/>
          <w:bCs/>
        </w:rPr>
        <w:t xml:space="preserve">Analysis: </w:t>
      </w:r>
      <w:r>
        <w:t>SAS, R, crop simulation (DSSAT)</w:t>
      </w:r>
    </w:p>
    <w:p>
      <w:pPr>
        <w:pStyle w:val="BodyText"/>
        <w:ind w:left="1531" w:right="0"/>
      </w:pPr>
      <w:r>
        <w:rPr>
          <w:b/>
          <w:bCs/>
        </w:rPr>
        <w:t xml:space="preserve">Languages: </w:t>
      </w:r>
      <w:r>
        <w:t>Punjabi (native), Hindi, English</w:t>
      </w:r>
    </w:p>
    <w:p>
      <w:pPr>
        <w:pStyle w:val="SectionHeading"/>
      </w:pPr>
      <w:r>
        <w:t>09   References</w:t>
      </w:r>
    </w:p>
    <w:p>
      <w:pPr>
        <w:pStyle w:val="BodyText"/>
        <w:keepNext/>
        <w:spacing w:after="0"/>
        <w:ind w:left="1531" w:right="0"/>
      </w:pPr>
      <w:r>
        <w:rPr>
          <w:b/>
          <w:bCs/>
        </w:rPr>
        <w:t>Dr. G. S. Brar</w:t>
      </w:r>
    </w:p>
    <w:p>
      <w:pPr>
        <w:pStyle w:val="BodyText"/>
        <w:keepNext/>
        <w:spacing w:after="0"/>
        <w:ind w:left="1531" w:right="0"/>
      </w:pPr>
      <w:r>
        <w:t>Director of Research, Punjab Plains Agricultural University</w:t>
      </w:r>
    </w:p>
    <w:p>
      <w:pPr>
        <w:pStyle w:val="BodyText"/>
        <w:spacing w:after="100"/>
        <w:ind w:left="1531" w:right="0"/>
      </w:pPr>
      <w:r>
        <w:t>gs.brar@agriuniv.edu</w:t>
      </w:r>
    </w:p>
    <w:p>
      <w:pPr>
        <w:pStyle w:val="BodyText"/>
        <w:keepNext/>
        <w:spacing w:after="0"/>
        <w:ind w:left="1531" w:right="0"/>
      </w:pPr>
      <w:r>
        <w:rPr>
          <w:b/>
          <w:bCs/>
        </w:rPr>
        <w:t>Dr. A. Dhillon</w:t>
      </w:r>
    </w:p>
    <w:p>
      <w:pPr>
        <w:pStyle w:val="BodyText"/>
        <w:keepNext/>
        <w:spacing w:after="0"/>
        <w:ind w:left="1531" w:right="0"/>
      </w:pPr>
      <w:r>
        <w:t>Head, Department of Soil Science</w:t>
      </w:r>
    </w:p>
    <w:p>
      <w:pPr>
        <w:pStyle w:val="BodyText"/>
        <w:spacing w:after="100"/>
        <w:ind w:left="1531" w:right="0"/>
      </w:pPr>
      <w:r>
        <w:t>a.dhillon@agriuniv.edu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1191" w:bottom="1020" w:left="1191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Work Sans" w:hAnsi="Work Sans" w:eastAsia="Work Sans" w:cs="Work Sans"/>
        <w:color w:val="888888"/>
        <w:sz w:val="16"/>
        <w:szCs w:val="16"/>
      </w:rPr>
      <w:t xml:space="preserve">Page </w:t>
    </w:r>
    <w:r>
      <w:rPr>
        <w:rFonts w:ascii="Work Sans" w:hAnsi="Work Sans" w:eastAsia="Work Sans" w:cs="Work Sans"/>
        <w:color w:val="888888"/>
        <w:sz w:val="16"/>
        <w:szCs w:val="16"/>
      </w:rPr>
      <w:fldChar w:fldCharType="begin"/>
    </w:r>
    <w:r>
      <w:rPr>
        <w:rFonts w:ascii="Work Sans" w:hAnsi="Work Sans" w:eastAsia="Work Sans" w:cs="Work Sans"/>
        <w:color w:val="888888"/>
        <w:sz w:val="16"/>
        <w:szCs w:val="16"/>
      </w:rPr>
      <w:instrText xml:space="preserve"> PAGE </w:instrText>
    </w:r>
    <w:r>
      <w:rPr>
        <w:rFonts w:ascii="Work Sans" w:hAnsi="Work Sans" w:eastAsia="Work Sans" w:cs="Work Sans"/>
        <w:color w:val="888888"/>
        <w:sz w:val="16"/>
        <w:szCs w:val="16"/>
      </w:rPr>
      <w:fldChar w:fldCharType="separate"/>
    </w:r>
    <w:r>
      <w:rPr>
        <w:rFonts w:ascii="Work Sans" w:hAnsi="Work Sans" w:eastAsia="Work Sans" w:cs="Work Sans"/>
        <w:color w:val="888888"/>
        <w:sz w:val="16"/>
        <w:szCs w:val="16"/>
      </w:rPr>
      <w:t>1</w:t>
    </w:r>
    <w:r>
      <w:rPr>
        <w:rFonts w:ascii="Work Sans" w:hAnsi="Work Sans" w:eastAsia="Work Sans" w:cs="Work Sans"/>
        <w:color w:val="888888"/>
        <w:sz w:val="16"/>
        <w:szCs w:val="16"/>
      </w:rPr>
      <w:fldChar w:fldCharType="end"/>
    </w:r>
    <w:r>
      <w:rPr>
        <w:rFonts w:ascii="Work Sans" w:hAnsi="Work Sans" w:eastAsia="Work Sans" w:cs="Work Sans"/>
        <w:color w:val="888888"/>
        <w:sz w:val="16"/>
        <w:szCs w:val="16"/>
      </w:rPr>
      <w:t xml:space="preserve"> of </w:t>
    </w:r>
    <w:r>
      <w:rPr>
        <w:rFonts w:ascii="Work Sans" w:hAnsi="Work Sans" w:eastAsia="Work Sans" w:cs="Work Sans"/>
        <w:color w:val="888888"/>
        <w:sz w:val="16"/>
        <w:szCs w:val="16"/>
      </w:rPr>
      <w:fldChar w:fldCharType="begin"/>
    </w:r>
    <w:r>
      <w:rPr>
        <w:rFonts w:ascii="Work Sans" w:hAnsi="Work Sans" w:eastAsia="Work Sans" w:cs="Work Sans"/>
        <w:color w:val="888888"/>
        <w:sz w:val="16"/>
        <w:szCs w:val="16"/>
      </w:rPr>
      <w:instrText xml:space="preserve"> NUMPAGES </w:instrText>
    </w:r>
    <w:r>
      <w:rPr>
        <w:rFonts w:ascii="Work Sans" w:hAnsi="Work Sans" w:eastAsia="Work Sans" w:cs="Work Sans"/>
        <w:color w:val="888888"/>
        <w:sz w:val="16"/>
        <w:szCs w:val="16"/>
      </w:rPr>
      <w:fldChar w:fldCharType="separate"/>
    </w:r>
    <w:r>
      <w:rPr>
        <w:rFonts w:ascii="Work Sans" w:hAnsi="Work Sans" w:eastAsia="Work Sans" w:cs="Work Sans"/>
        <w:color w:val="888888"/>
        <w:sz w:val="16"/>
        <w:szCs w:val="16"/>
      </w:rPr>
      <w:t>1</w:t>
    </w:r>
    <w:r>
      <w:rPr>
        <w:rFonts w:ascii="Work Sans" w:hAnsi="Work Sans" w:eastAsia="Work Sans" w:cs="Work Sans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Work Sans" w:hAnsi="Work Sans" w:eastAsia="Work Sans" w:cs="Work Sans"/>
        <w:color w:val="888888"/>
        <w:sz w:val="16"/>
        <w:szCs w:val="16"/>
      </w:rPr>
      <w:t xml:space="preserve">Page </w:t>
    </w:r>
    <w:r>
      <w:rPr>
        <w:rFonts w:ascii="Work Sans" w:hAnsi="Work Sans" w:eastAsia="Work Sans" w:cs="Work Sans"/>
        <w:color w:val="888888"/>
        <w:sz w:val="16"/>
        <w:szCs w:val="16"/>
      </w:rPr>
      <w:fldChar w:fldCharType="begin"/>
    </w:r>
    <w:r>
      <w:rPr>
        <w:rFonts w:ascii="Work Sans" w:hAnsi="Work Sans" w:eastAsia="Work Sans" w:cs="Work Sans"/>
        <w:color w:val="888888"/>
        <w:sz w:val="16"/>
        <w:szCs w:val="16"/>
      </w:rPr>
      <w:instrText xml:space="preserve"> PAGE </w:instrText>
    </w:r>
    <w:r>
      <w:rPr>
        <w:rFonts w:ascii="Work Sans" w:hAnsi="Work Sans" w:eastAsia="Work Sans" w:cs="Work Sans"/>
        <w:color w:val="888888"/>
        <w:sz w:val="16"/>
        <w:szCs w:val="16"/>
      </w:rPr>
      <w:fldChar w:fldCharType="separate"/>
    </w:r>
    <w:r>
      <w:rPr>
        <w:rFonts w:ascii="Work Sans" w:hAnsi="Work Sans" w:eastAsia="Work Sans" w:cs="Work Sans"/>
        <w:color w:val="888888"/>
        <w:sz w:val="16"/>
        <w:szCs w:val="16"/>
      </w:rPr>
      <w:t>1</w:t>
    </w:r>
    <w:r>
      <w:rPr>
        <w:rFonts w:ascii="Work Sans" w:hAnsi="Work Sans" w:eastAsia="Work Sans" w:cs="Work Sans"/>
        <w:color w:val="888888"/>
        <w:sz w:val="16"/>
        <w:szCs w:val="16"/>
      </w:rPr>
      <w:fldChar w:fldCharType="end"/>
    </w:r>
    <w:r>
      <w:rPr>
        <w:rFonts w:ascii="Work Sans" w:hAnsi="Work Sans" w:eastAsia="Work Sans" w:cs="Work Sans"/>
        <w:color w:val="888888"/>
        <w:sz w:val="16"/>
        <w:szCs w:val="16"/>
      </w:rPr>
      <w:t xml:space="preserve"> of </w:t>
    </w:r>
    <w:r>
      <w:rPr>
        <w:rFonts w:ascii="Work Sans" w:hAnsi="Work Sans" w:eastAsia="Work Sans" w:cs="Work Sans"/>
        <w:color w:val="888888"/>
        <w:sz w:val="16"/>
        <w:szCs w:val="16"/>
      </w:rPr>
      <w:fldChar w:fldCharType="begin"/>
    </w:r>
    <w:r>
      <w:rPr>
        <w:rFonts w:ascii="Work Sans" w:hAnsi="Work Sans" w:eastAsia="Work Sans" w:cs="Work Sans"/>
        <w:color w:val="888888"/>
        <w:sz w:val="16"/>
        <w:szCs w:val="16"/>
      </w:rPr>
      <w:instrText xml:space="preserve"> NUMPAGES </w:instrText>
    </w:r>
    <w:r>
      <w:rPr>
        <w:rFonts w:ascii="Work Sans" w:hAnsi="Work Sans" w:eastAsia="Work Sans" w:cs="Work Sans"/>
        <w:color w:val="888888"/>
        <w:sz w:val="16"/>
        <w:szCs w:val="16"/>
      </w:rPr>
      <w:fldChar w:fldCharType="separate"/>
    </w:r>
    <w:r>
      <w:rPr>
        <w:rFonts w:ascii="Work Sans" w:hAnsi="Work Sans" w:eastAsia="Work Sans" w:cs="Work Sans"/>
        <w:color w:val="888888"/>
        <w:sz w:val="16"/>
        <w:szCs w:val="16"/>
      </w:rPr>
      <w:t>1</w:t>
    </w:r>
    <w:r>
      <w:rPr>
        <w:rFonts w:ascii="Work Sans" w:hAnsi="Work Sans" w:eastAsia="Work Sans" w:cs="Work Sans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524" w:val="right"/>
      </w:tabs>
      <w:jc w:val="left"/>
    </w:pPr>
    <w:r>
      <w:rPr>
        <w:color w:val="777777"/>
        <w:sz w:val="17"/>
        <w:szCs w:val="17"/>
      </w:rPr>
      <w:t>Dr. Harpreet Kaur Gill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◦"/>
      <w:lvlJc w:val="left"/>
      <w:pPr>
        <w:ind w:left="1814" w:hanging="227"/>
      </w:pPr>
      <w:rPr>
        <w:rFonts w:ascii="Segoe UI Symbol" w:hAnsi="Segoe UI Symbol" w:cs="Segoe UI Symbol" w:hint="default"/>
        <w:color w:val="0F172A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Work Sans" w:hAnsi="Work Sans" w:eastAsia="Work Sans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Work Sans" w:hAnsi="Work Sans" w:eastAsia="Work Sans" w:cs="Mukta"/>
      <w:color w:val="1E1E1E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Work Sans" w:hAnsi="Work Sans" w:eastAsia="Work Sans" w:cs="Mukta"/>
      <w:b w:val="0"/>
      <w:i w:val="0"/>
      <w:caps w:val="0"/>
      <w:smallCaps w:val="0"/>
      <w:color w:val="1E1E1E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Fraunces" w:hAnsi="Fraunces" w:eastAsia="Fraunces" w:cs="Mukta"/>
      <w:b/>
      <w:bCs/>
      <w:i w:val="0"/>
      <w:caps w:val="0"/>
      <w:smallCaps w:val="0"/>
      <w:color w:val="1E1E1E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Work Sans" w:hAnsi="Work Sans" w:eastAsia="Work Sans" w:cs="Mukta"/>
      <w:b w:val="0"/>
      <w:i w:val="0"/>
      <w:caps w:val="0"/>
      <w:smallCaps w:val="0"/>
      <w:color w:val="1E1E1E"/>
      <w:sz w:val="21"/>
      <w:szCs w:val="21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Work Sans" w:hAnsi="Work Sans" w:eastAsia="Work Sans" w:cs="Mukta"/>
      <w:b w:val="0"/>
      <w:i w:val="0"/>
      <w:caps w:val="0"/>
      <w:smallCaps w:val="0"/>
      <w:color w:val="555555"/>
      <w:sz w:val="17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Fraunces" w:hAnsi="Fraunces" w:eastAsia="Fraunces" w:cs="Mukta"/>
      <w:b/>
      <w:bCs/>
      <w:i w:val="0"/>
      <w:caps/>
      <w:smallCaps w:val="0"/>
      <w:color w:val="0F172A"/>
      <w:spacing w:val="28"/>
      <w:sz w:val="22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Work Sans" w:hAnsi="Work Sans" w:eastAsia="Work Sans" w:cs="Mukta"/>
      <w:b w:val="0"/>
      <w:i w:val="0"/>
      <w:caps w:val="0"/>
      <w:smallCaps w:val="0"/>
      <w:color w:val="1E1E1E"/>
      <w:sz w:val="19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Work Sans" w:hAnsi="Work Sans" w:eastAsia="Work Sans" w:cs="Mukta"/>
      <w:b/>
      <w:bCs/>
      <w:i w:val="0"/>
      <w:caps w:val="0"/>
      <w:smallCaps w:val="0"/>
      <w:color w:val="1E1E1E"/>
      <w:sz w:val="19"/>
      <w:szCs w:val="19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Work Sans" w:hAnsi="Work Sans" w:eastAsia="Work Sans" w:cs="Mukta"/>
      <w:b w:val="0"/>
      <w:i/>
      <w:caps w:val="0"/>
      <w:smallCaps w:val="0"/>
      <w:color w:val="444444"/>
      <w:sz w:val="19"/>
      <w:szCs w:val="19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1984" w:hanging="454"/>
    </w:pPr>
    <w:rPr>
      <w:rFonts w:ascii="Work Sans" w:hAnsi="Work Sans" w:eastAsia="Work Sans" w:cs="Mukta"/>
      <w:b w:val="0"/>
      <w:i w:val="0"/>
      <w:caps w:val="0"/>
      <w:smallCaps w:val="0"/>
      <w:color w:val="1E1E1E"/>
      <w:sz w:val="18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1814" w:hanging="227"/>
    </w:pPr>
    <w:rPr>
      <w:rFonts w:ascii="Work Sans" w:hAnsi="Work Sans" w:eastAsia="Work Sans" w:cs="Mukta"/>
      <w:b w:val="0"/>
      <w:i w:val="0"/>
      <w:caps w:val="0"/>
      <w:smallCaps w:val="0"/>
      <w:color w:val="1E1E1E"/>
      <w:sz w:val="19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Two-tone Name · Numbered — Agronomist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