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act"/>
        <w:pBdr>
          <w:left w:val="single" w:sz="4" w:space="16" w:color="632D04"/>
          <w:right w:val="single" w:sz="4" w:space="16" w:color="632D04"/>
        </w:pBdr>
        <w:shd w:val="clear" w:color="auto" w:fill="632D04"/>
        <w:spacing w:line="192" w:lineRule="auto"/>
        <w:ind w:left="340" w:right="340"/>
      </w:pPr>
    </w:p>
    <w:p>
      <w:pPr>
        <w:pStyle w:val="Name"/>
        <w:pBdr>
          <w:left w:val="single" w:sz="4" w:space="16" w:color="632D04"/>
          <w:right w:val="single" w:sz="4" w:space="16" w:color="632D04"/>
        </w:pBdr>
        <w:shd w:val="clear" w:color="auto" w:fill="632D04"/>
        <w:spacing w:before="0"/>
        <w:ind w:left="340" w:right="340"/>
      </w:pPr>
      <w:r>
        <w:t>Dr. Rohan Joshi</w:t>
      </w:r>
    </w:p>
    <w:p>
      <w:pPr>
        <w:pStyle w:val="Role"/>
        <w:pBdr>
          <w:left w:val="single" w:sz="4" w:space="16" w:color="632D04"/>
          <w:right w:val="single" w:sz="4" w:space="16" w:color="632D04"/>
        </w:pBdr>
        <w:shd w:val="clear" w:color="auto" w:fill="632D04"/>
        <w:ind w:left="340" w:right="340"/>
      </w:pPr>
      <w:r>
        <w:t>Associate Professor of Pharmaceutics</w:t>
      </w:r>
    </w:p>
    <w:p>
      <w:pPr>
        <w:pStyle w:val="Contact"/>
        <w:pBdr>
          <w:left w:val="single" w:sz="4" w:space="16" w:color="632D04"/>
          <w:right w:val="single" w:sz="4" w:space="16" w:color="632D04"/>
        </w:pBdr>
        <w:shd w:val="clear" w:color="auto" w:fill="632D04"/>
        <w:ind w:left="340" w:right="340"/>
      </w:pPr>
      <w:r>
        <w:t>Nagpur, Maharashtra</w:t>
      </w:r>
      <w:r>
        <w:rPr>
          <w:color w:val="E5E7EB"/>
        </w:rPr>
        <w:t xml:space="preserve">   |   </w:t>
      </w:r>
      <w:r>
        <w:t>+91 98230 93146</w:t>
      </w:r>
      <w:r>
        <w:rPr>
          <w:color w:val="E5E7EB"/>
        </w:rPr>
        <w:t xml:space="preserve">   |   </w:t>
      </w:r>
      <w:r>
        <w:t>rohan.joshi@pharmacy.edu</w:t>
      </w:r>
    </w:p>
    <w:p>
      <w:pPr>
        <w:pStyle w:val="Contact"/>
        <w:pBdr>
          <w:left w:val="single" w:sz="4" w:space="16" w:color="632D04"/>
          <w:right w:val="single" w:sz="4" w:space="16" w:color="632D04"/>
        </w:pBdr>
        <w:shd w:val="clear" w:color="auto" w:fill="632D04"/>
        <w:spacing w:before="0" w:after="0" w:line="144" w:lineRule="auto"/>
        <w:ind w:left="340" w:right="340"/>
      </w:pPr>
      <w:r/>
    </w:p>
    <w:p>
      <w:pPr>
        <w:pStyle w:val="SectionHeading"/>
        <w:pBdr>
          <w:bottom w:val="single" w:sz="18" w:space="1" w:color="E1BA9C"/>
        </w:pBdr>
      </w:pPr>
      <w:r>
        <w:t>Profile</w:t>
      </w:r>
    </w:p>
    <w:p>
      <w:pPr>
        <w:pStyle w:val="Summary"/>
        <w:ind w:left="1531" w:right="0"/>
      </w:pPr>
      <w:r>
        <w:t>Pharmaceutical scientist developing nanoparticle and transdermal delivery systems. Collaborates with two generic manufacturers on technology transfer and supervises six Ph.D. scholars.</w:t>
      </w:r>
    </w:p>
    <w:p>
      <w:pPr>
        <w:pStyle w:val="BodyText"/>
        <w:spacing w:before="80"/>
        <w:ind w:left="1531" w:right="0"/>
      </w:pPr>
      <w:r>
        <w:rPr>
          <w:b/>
          <w:bCs/>
          <w:color w:val="B45309"/>
        </w:rPr>
        <w:t xml:space="preserve">Research interests: </w:t>
      </w:r>
      <w:r>
        <w:t>Nanocarriers · transdermal delivery · herbal standardisation · technology transfer</w:t>
      </w:r>
    </w:p>
    <w:p>
      <w:pPr>
        <w:pStyle w:val="SectionHeading"/>
        <w:pBdr>
          <w:bottom w:val="single" w:sz="18" w:space="1" w:color="E1BA9C"/>
        </w:pBdr>
      </w:pPr>
      <w:r>
        <w:t>Research Experience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2019 – Present</w:t>
      </w:r>
      <w:r>
        <w:tab/>
      </w:r>
      <w:r>
        <w:t>Associate Professor</w:t>
      </w:r>
    </w:p>
    <w:p>
      <w:pPr>
        <w:pStyle w:val="EntryMeta"/>
        <w:ind w:left="1531" w:right="0"/>
      </w:pPr>
      <w:r>
        <w:t>Department of Pharmaceutics, Vidarbha Institute of Pharmaceutical Education</w:t>
      </w:r>
    </w:p>
    <w:p>
      <w:pPr>
        <w:pStyle w:val="ResumeBullet"/>
      </w:pPr>
      <w:r>
        <w:t>Lead a nanomedicine lab; 2 formulations transferred to industry partners.</w:t>
      </w:r>
    </w:p>
    <w:p>
      <w:pPr>
        <w:pStyle w:val="ResumeBullet"/>
      </w:pPr>
      <w:r>
        <w:t>Supervise 6 Ph.D. and 14 M.Pharm. students.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2014 – 2019</w:t>
      </w:r>
      <w:r>
        <w:tab/>
      </w:r>
      <w:r>
        <w:t>Assistant Professor</w:t>
      </w:r>
    </w:p>
    <w:p>
      <w:pPr>
        <w:pStyle w:val="EntryMeta"/>
        <w:ind w:left="1531" w:right="0"/>
      </w:pPr>
      <w:r>
        <w:t>Orange City College of Pharmacy</w:t>
      </w:r>
    </w:p>
    <w:p>
      <w:pPr>
        <w:pStyle w:val="ResumeBullet"/>
      </w:pPr>
      <w:r>
        <w:t>Set up the formulation development lab and an industry internship cell.</w:t>
      </w:r>
    </w:p>
    <w:p>
      <w:pPr>
        <w:pStyle w:val="SectionHeading"/>
        <w:pBdr>
          <w:bottom w:val="single" w:sz="18" w:space="1" w:color="E1BA9C"/>
        </w:pBdr>
      </w:pPr>
      <w:r>
        <w:t>Education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2010 – 2014</w:t>
      </w:r>
      <w:r>
        <w:tab/>
      </w:r>
      <w:r>
        <w:t>Ph.D., Pharmaceutical Sciences</w:t>
      </w:r>
    </w:p>
    <w:p>
      <w:pPr>
        <w:pStyle w:val="EntryMeta"/>
        <w:ind w:left="1531" w:right="0"/>
      </w:pPr>
      <w:r>
        <w:t>Vidarbha Institute of Pharmaceutical Education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2008 – 2010</w:t>
      </w:r>
      <w:r>
        <w:tab/>
      </w:r>
      <w:r>
        <w:t>M.Pharm., Pharmaceutics</w:t>
      </w:r>
    </w:p>
    <w:p>
      <w:pPr>
        <w:pStyle w:val="EntryMeta"/>
        <w:ind w:left="1531" w:right="0"/>
      </w:pPr>
      <w:r>
        <w:t>Vidarbha Institute of Pharmaceutical Education</w:t>
      </w:r>
    </w:p>
    <w:p>
      <w:pPr>
        <w:pStyle w:val="BodyText"/>
        <w:ind w:left="1531" w:right="0"/>
      </w:pPr>
      <w:r>
        <w:t>GPAT qualified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2004 – 2008</w:t>
      </w:r>
      <w:r>
        <w:tab/>
      </w:r>
      <w:r>
        <w:t>B.Pharm.</w:t>
      </w:r>
    </w:p>
    <w:p>
      <w:pPr>
        <w:pStyle w:val="EntryMeta"/>
        <w:ind w:left="1531" w:right="0"/>
      </w:pPr>
      <w:r>
        <w:t>Orange City College of Pharmacy</w:t>
      </w:r>
    </w:p>
    <w:p>
      <w:pPr>
        <w:pStyle w:val="BodyText"/>
        <w:ind w:left="1531" w:right="0"/>
      </w:pPr>
      <w:r>
        <w:t>Distinction</w:t>
      </w:r>
    </w:p>
    <w:p>
      <w:pPr>
        <w:pStyle w:val="SectionHeading"/>
        <w:pBdr>
          <w:bottom w:val="single" w:sz="18" w:space="1" w:color="E1BA9C"/>
        </w:pBdr>
      </w:pPr>
      <w:r>
        <w:t>Grants, Awards &amp; Honours</w:t>
      </w:r>
    </w:p>
    <w:p>
      <w:pPr>
        <w:pStyle w:val="ResumeBullet"/>
      </w:pPr>
      <w:r>
        <w:t>Research grant, national pharmaceutical research council (2021–2024), ₹56 lakh</w:t>
      </w:r>
    </w:p>
    <w:p>
      <w:pPr>
        <w:pStyle w:val="ResumeBullet"/>
      </w:pPr>
      <w:r>
        <w:t>Best Teacher Award, state pharmacy council (2020)</w:t>
      </w:r>
    </w:p>
    <w:p>
      <w:pPr>
        <w:pStyle w:val="SectionHeading"/>
        <w:pBdr>
          <w:bottom w:val="single" w:sz="18" w:space="1" w:color="E1BA9C"/>
        </w:pBdr>
      </w:pPr>
      <w:r>
        <w:t>Teaching</w:t>
      </w:r>
    </w:p>
    <w:p>
      <w:pPr>
        <w:pStyle w:val="ResumeBullet"/>
      </w:pPr>
      <w:r>
        <w:t>Industrial Pharmacy (B.Pharm.)</w:t>
      </w:r>
    </w:p>
    <w:p>
      <w:pPr>
        <w:pStyle w:val="ResumeBullet"/>
      </w:pPr>
      <w:r>
        <w:t>Novel Drug Delivery Systems (M.Pharm.)</w:t>
      </w:r>
    </w:p>
    <w:p>
      <w:pPr>
        <w:pStyle w:val="ResumeBullet"/>
      </w:pPr>
      <w:r>
        <w:t>Regulatory Affairs (M.Pharm.)</w:t>
      </w:r>
    </w:p>
    <w:p>
      <w:pPr>
        <w:pStyle w:val="SectionHeading"/>
        <w:pBdr>
          <w:bottom w:val="single" w:sz="18" w:space="1" w:color="E1BA9C"/>
        </w:pBdr>
      </w:pPr>
      <w:r>
        <w:t>Publications</w:t>
      </w:r>
    </w:p>
    <w:p>
      <w:pPr>
        <w:pStyle w:val="Citation"/>
      </w:pPr>
      <w:r>
        <w:rPr>
          <w:b/>
          <w:bCs/>
          <w:color w:val="B45309"/>
        </w:rPr>
        <w:t xml:space="preserve">[1]  </w:t>
      </w:r>
      <w:r>
        <w:t xml:space="preserve">Banerjee, P., Haddad, N., &amp; </w:t>
      </w:r>
      <w:r>
        <w:rPr>
          <w:b/>
          <w:bCs/>
        </w:rPr>
        <w:t>Joshi, R.</w:t>
      </w:r>
      <w:r/>
      <w:r>
        <w:t xml:space="preserve"> (2026). New approaches to nanoparticle delivery of anticancer drugs. </w:t>
      </w:r>
      <w:r>
        <w:rPr>
          <w:i/>
        </w:rPr>
        <w:t>Proceedings of the Indian Pharmacy Congress</w:t>
      </w:r>
      <w:r>
        <w:t>, pp. 568–580.</w:t>
      </w:r>
    </w:p>
    <w:p>
      <w:pPr>
        <w:pStyle w:val="Citation"/>
      </w:pPr>
      <w:r>
        <w:rPr>
          <w:b/>
          <w:bCs/>
          <w:color w:val="B45309"/>
        </w:rPr>
        <w:t xml:space="preserve">[2]  </w:t>
      </w:r>
      <w:r>
        <w:t xml:space="preserve">Banerjee, P., &amp; </w:t>
      </w:r>
      <w:r>
        <w:rPr>
          <w:b/>
          <w:bCs/>
        </w:rPr>
        <w:t>Joshi, R.</w:t>
      </w:r>
      <w:r/>
      <w:r>
        <w:t xml:space="preserve"> (2026). Evidence on antimicrobial resistance surveillance. </w:t>
      </w:r>
      <w:r>
        <w:rPr>
          <w:i/>
        </w:rPr>
        <w:t>Journal of Pharmaceutical Formulation Science</w:t>
      </w:r>
      <w:r>
        <w:t>, 31(6), 258–277.</w:t>
      </w:r>
    </w:p>
    <w:p>
      <w:pPr>
        <w:pStyle w:val="Citation"/>
      </w:pPr>
      <w:r>
        <w:rPr>
          <w:b/>
          <w:bCs/>
          <w:color w:val="B45309"/>
        </w:rPr>
        <w:t xml:space="preserve">[3]  </w:t>
      </w:r>
      <w:r>
        <w:t xml:space="preserve">Iyer, M., Menon, V., Fischer, A., &amp; </w:t>
      </w:r>
      <w:r>
        <w:rPr>
          <w:b/>
          <w:bCs/>
        </w:rPr>
        <w:t>Joshi, R.</w:t>
      </w:r>
      <w:r/>
      <w:r>
        <w:t xml:space="preserve"> (2026). Understanding nanoparticle delivery of anticancer drugs. </w:t>
      </w:r>
      <w:r>
        <w:rPr>
          <w:i/>
        </w:rPr>
        <w:t>Pharmacology and Toxicology Review</w:t>
      </w:r>
      <w:r>
        <w:t>, 22(4), 561–581.</w:t>
      </w:r>
    </w:p>
    <w:p>
      <w:pPr>
        <w:pStyle w:val="Citation"/>
      </w:pPr>
      <w:r>
        <w:rPr>
          <w:b/>
          <w:bCs/>
          <w:color w:val="B45309"/>
        </w:rPr>
        <w:t xml:space="preserve">[4]  </w:t>
      </w:r>
      <w:r/>
      <w:r>
        <w:rPr>
          <w:b/>
          <w:bCs/>
        </w:rPr>
        <w:t>Joshi, R.</w:t>
      </w:r>
      <w:r>
        <w:t>, Menon, V., &amp; Gupta, R.</w:t>
      </w:r>
      <w:r>
        <w:t xml:space="preserve"> (2025). Rethinking sustained-release antidiabetic tablets. </w:t>
      </w:r>
      <w:r>
        <w:rPr>
          <w:i/>
        </w:rPr>
        <w:t>Journal of Pharmaceutical Formulation Science</w:t>
      </w:r>
      <w:r>
        <w:t>, 11(8), 726–734.</w:t>
      </w:r>
    </w:p>
    <w:p>
      <w:pPr>
        <w:pStyle w:val="Citation"/>
      </w:pPr>
      <w:r>
        <w:rPr>
          <w:b/>
          <w:bCs/>
          <w:color w:val="B45309"/>
        </w:rPr>
        <w:t xml:space="preserve">[5]  </w:t>
      </w:r>
      <w:r/>
      <w:r>
        <w:rPr>
          <w:b/>
          <w:bCs/>
        </w:rPr>
        <w:t>Joshi, R.</w:t>
      </w:r>
      <w:r>
        <w:t>, &amp; Okafor, D.</w:t>
      </w:r>
      <w:r>
        <w:t xml:space="preserve"> (2025). Designing for bioavailability of curcumin formulations. </w:t>
      </w:r>
      <w:r>
        <w:rPr>
          <w:i/>
        </w:rPr>
        <w:t>Proceedings of the Indian Pharmacy Congress</w:t>
      </w:r>
      <w:r>
        <w:t>, pp. 245–254.</w:t>
      </w:r>
    </w:p>
    <w:p>
      <w:pPr>
        <w:pStyle w:val="Citation"/>
      </w:pPr>
      <w:r>
        <w:rPr>
          <w:b/>
          <w:bCs/>
          <w:color w:val="B45309"/>
        </w:rPr>
        <w:t xml:space="preserve">[6]  </w:t>
      </w:r>
      <w:r>
        <w:t xml:space="preserve">Okafor, D., &amp; </w:t>
      </w:r>
      <w:r>
        <w:rPr>
          <w:b/>
          <w:bCs/>
        </w:rPr>
        <w:t>Joshi, R.</w:t>
      </w:r>
      <w:r/>
      <w:r>
        <w:t xml:space="preserve"> (2025). New approaches to herbal extract standardisation. </w:t>
      </w:r>
      <w:r>
        <w:rPr>
          <w:i/>
        </w:rPr>
        <w:t>Journal of Pharmaceutical Formulation Science</w:t>
      </w:r>
      <w:r>
        <w:t>, 35(3), 565–587.</w:t>
      </w:r>
    </w:p>
    <w:p>
      <w:pPr>
        <w:pStyle w:val="Citation"/>
      </w:pPr>
      <w:r>
        <w:rPr>
          <w:b/>
          <w:bCs/>
          <w:color w:val="B45309"/>
        </w:rPr>
        <w:t xml:space="preserve">[7]  </w:t>
      </w:r>
      <w:r/>
      <w:r>
        <w:rPr>
          <w:b/>
          <w:bCs/>
        </w:rPr>
        <w:t>Joshi, R.</w:t>
      </w:r>
      <w:r>
        <w:t>, Menon, V., &amp; Okafor, D.</w:t>
      </w:r>
      <w:r>
        <w:t xml:space="preserve"> (2024). Rethinking sustained-release antidiabetic tablets. </w:t>
      </w:r>
      <w:r>
        <w:rPr>
          <w:i/>
        </w:rPr>
        <w:t>Journal of Pharmaceutical Formulation Science</w:t>
      </w:r>
      <w:r>
        <w:t>, 19(5), 778–787.</w:t>
      </w:r>
    </w:p>
    <w:p>
      <w:pPr>
        <w:pStyle w:val="Citation"/>
      </w:pPr>
      <w:r>
        <w:rPr>
          <w:b/>
          <w:bCs/>
          <w:color w:val="B45309"/>
        </w:rPr>
        <w:t xml:space="preserve">[8]  </w:t>
      </w:r>
      <w:r>
        <w:t xml:space="preserve">Kim, J., </w:t>
      </w:r>
      <w:r>
        <w:rPr>
          <w:b/>
          <w:bCs/>
        </w:rPr>
        <w:t>Joshi, R.</w:t>
      </w:r>
      <w:r>
        <w:t>, &amp; Gupta, R.</w:t>
      </w:r>
      <w:r>
        <w:t xml:space="preserve"> (2024). Measuring bioavailability of curcumin formulations. </w:t>
      </w:r>
      <w:r>
        <w:rPr>
          <w:i/>
        </w:rPr>
        <w:t>Journal of Pharmaceutical Formulation Science</w:t>
      </w:r>
      <w:r>
        <w:t>, 43(12), 500–514.</w:t>
      </w:r>
    </w:p>
    <w:p>
      <w:pPr>
        <w:pStyle w:val="Citation"/>
      </w:pPr>
      <w:r>
        <w:rPr>
          <w:b/>
          <w:bCs/>
          <w:color w:val="B45309"/>
        </w:rPr>
        <w:t xml:space="preserve">[9]  </w:t>
      </w:r>
      <w:r>
        <w:t xml:space="preserve">Menon, V., &amp; </w:t>
      </w:r>
      <w:r>
        <w:rPr>
          <w:b/>
          <w:bCs/>
        </w:rPr>
        <w:t>Joshi, R.</w:t>
      </w:r>
      <w:r/>
      <w:r>
        <w:t xml:space="preserve"> (2024). Revisiting antimicrobial resistance surveillance. </w:t>
      </w:r>
      <w:r>
        <w:rPr>
          <w:i/>
        </w:rPr>
        <w:t>Drug Delivery Research Letters</w:t>
      </w:r>
      <w:r>
        <w:t>, 31(3), 185–196.</w:t>
      </w:r>
    </w:p>
    <w:p>
      <w:pPr>
        <w:pStyle w:val="Citation"/>
      </w:pPr>
      <w:r>
        <w:rPr>
          <w:b/>
          <w:bCs/>
          <w:color w:val="B45309"/>
        </w:rPr>
        <w:t xml:space="preserve">[10]  </w:t>
      </w:r>
      <w:r>
        <w:t xml:space="preserve">Iyer, M., &amp; </w:t>
      </w:r>
      <w:r>
        <w:rPr>
          <w:b/>
          <w:bCs/>
        </w:rPr>
        <w:t>Joshi, R.</w:t>
      </w:r>
      <w:r/>
      <w:r>
        <w:t xml:space="preserve"> (2023). A study of nanoparticle delivery of anticancer drugs. </w:t>
      </w:r>
      <w:r>
        <w:rPr>
          <w:i/>
        </w:rPr>
        <w:t>Proceedings of the Indian Pharmacy Congress</w:t>
      </w:r>
      <w:r>
        <w:t>, pp. 236–244.</w:t>
      </w:r>
    </w:p>
    <w:p>
      <w:pPr>
        <w:pStyle w:val="Citation"/>
      </w:pPr>
      <w:r>
        <w:rPr>
          <w:b/>
          <w:bCs/>
          <w:color w:val="B45309"/>
        </w:rPr>
        <w:t xml:space="preserve">[11]  </w:t>
      </w:r>
      <w:r/>
      <w:r>
        <w:rPr>
          <w:b/>
          <w:bCs/>
        </w:rPr>
        <w:t>Joshi, R.</w:t>
      </w:r>
      <w:r>
        <w:t>, Banerjee, P., &amp; Iyer, M.</w:t>
      </w:r>
      <w:r>
        <w:t xml:space="preserve"> (2023). Scaling nanoparticle delivery of anticancer drugs. </w:t>
      </w:r>
      <w:r>
        <w:rPr>
          <w:i/>
        </w:rPr>
        <w:t>Pharmacology and Toxicology Review</w:t>
      </w:r>
      <w:r>
        <w:t>, 47(1), 295–312.</w:t>
      </w:r>
    </w:p>
    <w:p>
      <w:pPr>
        <w:pStyle w:val="Citation"/>
      </w:pPr>
      <w:r>
        <w:rPr>
          <w:b/>
          <w:bCs/>
          <w:color w:val="B45309"/>
        </w:rPr>
        <w:t xml:space="preserve">[12]  </w:t>
      </w:r>
      <w:r/>
      <w:r>
        <w:rPr>
          <w:b/>
          <w:bCs/>
        </w:rPr>
        <w:t>Joshi, R.</w:t>
      </w:r>
      <w:r>
        <w:t>, &amp; Sato, Y.</w:t>
      </w:r>
      <w:r>
        <w:t xml:space="preserve"> (2023). Measuring herbal extract standardisation. </w:t>
      </w:r>
      <w:r>
        <w:rPr>
          <w:i/>
        </w:rPr>
        <w:t>Drug Delivery Research Letters</w:t>
      </w:r>
      <w:r>
        <w:t>, 28(12), 70–79.</w:t>
      </w:r>
    </w:p>
    <w:p>
      <w:pPr>
        <w:pStyle w:val="Citation"/>
      </w:pPr>
      <w:r>
        <w:rPr>
          <w:b/>
          <w:bCs/>
          <w:color w:val="B45309"/>
        </w:rPr>
        <w:t xml:space="preserve">[13]  </w:t>
      </w:r>
      <w:r>
        <w:t xml:space="preserve">Okafor, D., &amp; </w:t>
      </w:r>
      <w:r>
        <w:rPr>
          <w:b/>
          <w:bCs/>
        </w:rPr>
        <w:t>Joshi, R.</w:t>
      </w:r>
      <w:r/>
      <w:r>
        <w:t xml:space="preserve"> (2022). Understanding bioavailability of curcumin formulations. </w:t>
      </w:r>
      <w:r>
        <w:rPr>
          <w:i/>
        </w:rPr>
        <w:t>Proceedings of the Indian Pharmacy Congress</w:t>
      </w:r>
      <w:r>
        <w:t>, pp. 242–254.</w:t>
      </w:r>
    </w:p>
    <w:p>
      <w:pPr>
        <w:pStyle w:val="Citation"/>
      </w:pPr>
      <w:r>
        <w:rPr>
          <w:b/>
          <w:bCs/>
          <w:color w:val="B45309"/>
        </w:rPr>
        <w:t xml:space="preserve">[14]  </w:t>
      </w:r>
      <w:r/>
      <w:r>
        <w:rPr>
          <w:b/>
          <w:bCs/>
        </w:rPr>
        <w:t>Joshi, R.</w:t>
      </w:r>
      <w:r>
        <w:t>, Mensah, K., &amp; Rao, S.</w:t>
      </w:r>
      <w:r>
        <w:t xml:space="preserve"> (2022). A study of nanoparticle delivery of anticancer drugs. </w:t>
      </w:r>
      <w:r>
        <w:rPr>
          <w:i/>
        </w:rPr>
        <w:t>Journal of Pharmaceutical Formulation Science</w:t>
      </w:r>
      <w:r>
        <w:t>, 22(11), 378–386.</w:t>
      </w:r>
    </w:p>
    <w:p>
      <w:pPr>
        <w:pStyle w:val="Citation"/>
      </w:pPr>
      <w:r>
        <w:rPr>
          <w:b/>
          <w:bCs/>
          <w:color w:val="B45309"/>
        </w:rPr>
        <w:t xml:space="preserve">[15]  </w:t>
      </w:r>
      <w:r>
        <w:t xml:space="preserve">Gupta, R., </w:t>
      </w:r>
      <w:r>
        <w:rPr>
          <w:b/>
          <w:bCs/>
        </w:rPr>
        <w:t>Joshi, R.</w:t>
      </w:r>
      <w:r>
        <w:t>, &amp; Okafor, D.</w:t>
      </w:r>
      <w:r>
        <w:t xml:space="preserve"> (2022). Scaling nanoparticle delivery of anticancer drugs. </w:t>
      </w:r>
      <w:r>
        <w:rPr>
          <w:i/>
        </w:rPr>
        <w:t>Drug Delivery Research Letters</w:t>
      </w:r>
      <w:r>
        <w:t>, 21(6), 477–490.</w:t>
      </w:r>
    </w:p>
    <w:p>
      <w:pPr>
        <w:pStyle w:val="Citation"/>
      </w:pPr>
      <w:r>
        <w:rPr>
          <w:b/>
          <w:bCs/>
          <w:color w:val="B45309"/>
        </w:rPr>
        <w:t xml:space="preserve">[16]  </w:t>
      </w:r>
      <w:r>
        <w:t xml:space="preserve">Haddad, N., </w:t>
      </w:r>
      <w:r>
        <w:rPr>
          <w:b/>
          <w:bCs/>
        </w:rPr>
        <w:t>Joshi, R.</w:t>
      </w:r>
      <w:r>
        <w:t>, &amp; Banerjee, P.</w:t>
      </w:r>
      <w:r>
        <w:t xml:space="preserve"> (2021). Scaling herbal extract standardisation. </w:t>
      </w:r>
      <w:r>
        <w:rPr>
          <w:i/>
        </w:rPr>
        <w:t>Proceedings of the Indian Pharmacy Congress</w:t>
      </w:r>
      <w:r>
        <w:t>, pp. 363–377.</w:t>
      </w:r>
    </w:p>
    <w:p>
      <w:pPr>
        <w:pStyle w:val="Citation"/>
      </w:pPr>
      <w:r>
        <w:rPr>
          <w:b/>
          <w:bCs/>
          <w:color w:val="B45309"/>
        </w:rPr>
        <w:t xml:space="preserve">[17]  </w:t>
      </w:r>
      <w:r>
        <w:t xml:space="preserve">Iyer, M., Chen, L., Kim, J., &amp; </w:t>
      </w:r>
      <w:r>
        <w:rPr>
          <w:b/>
          <w:bCs/>
        </w:rPr>
        <w:t>Joshi, R.</w:t>
      </w:r>
      <w:r/>
      <w:r>
        <w:t xml:space="preserve"> (2021). Measuring antimicrobial resistance surveillance. </w:t>
      </w:r>
      <w:r>
        <w:rPr>
          <w:i/>
        </w:rPr>
        <w:t>Drug Delivery Research Letters</w:t>
      </w:r>
      <w:r>
        <w:t>, 15(6), 383–397.</w:t>
      </w:r>
    </w:p>
    <w:p>
      <w:pPr>
        <w:pStyle w:val="Citation"/>
      </w:pPr>
      <w:r>
        <w:rPr>
          <w:b/>
          <w:bCs/>
          <w:color w:val="B45309"/>
        </w:rPr>
        <w:t xml:space="preserve">[18]  </w:t>
      </w:r>
      <w:r>
        <w:t xml:space="preserve">Haddad, N., </w:t>
      </w:r>
      <w:r>
        <w:rPr>
          <w:b/>
          <w:bCs/>
        </w:rPr>
        <w:t>Joshi, R.</w:t>
      </w:r>
      <w:r>
        <w:t>, &amp; Chen, L.</w:t>
      </w:r>
      <w:r>
        <w:t xml:space="preserve"> (2021). Towards bioavailability of curcumin formulations. </w:t>
      </w:r>
      <w:r>
        <w:rPr>
          <w:i/>
        </w:rPr>
        <w:t>Proceedings of the Indian Pharmacy Congress</w:t>
      </w:r>
      <w:r>
        <w:t>, pp. 893–907.</w:t>
      </w:r>
    </w:p>
    <w:p>
      <w:pPr>
        <w:pStyle w:val="Citation"/>
      </w:pPr>
      <w:r>
        <w:rPr>
          <w:b/>
          <w:bCs/>
          <w:color w:val="B45309"/>
        </w:rPr>
        <w:t xml:space="preserve">[19]  </w:t>
      </w:r>
      <w:r>
        <w:t xml:space="preserve">Menon, V., Fischer, A., &amp; </w:t>
      </w:r>
      <w:r>
        <w:rPr>
          <w:b/>
          <w:bCs/>
        </w:rPr>
        <w:t>Joshi, R.</w:t>
      </w:r>
      <w:r/>
      <w:r>
        <w:t xml:space="preserve"> (2020). Rethinking herbal extract standardisation. </w:t>
      </w:r>
      <w:r>
        <w:rPr>
          <w:i/>
        </w:rPr>
        <w:t>Pharmacology and Toxicology Review</w:t>
      </w:r>
      <w:r>
        <w:t>, 45(12), 667–683.</w:t>
      </w:r>
    </w:p>
    <w:p>
      <w:pPr>
        <w:pStyle w:val="SectionHeading"/>
        <w:pBdr>
          <w:bottom w:val="single" w:sz="18" w:space="1" w:color="E1BA9C"/>
        </w:pBdr>
      </w:pPr>
      <w:r>
        <w:t>Conference Presentations &amp; Invited Talks</w:t>
      </w:r>
    </w:p>
    <w:p>
      <w:pPr>
        <w:pStyle w:val="ResumeBullet"/>
      </w:pPr>
      <w:r>
        <w:t>Poster: “Scaling herbal extract standardisation”, Proceedings of the Indian Pharmacy Congress, New Delhi, 2026.</w:t>
      </w:r>
    </w:p>
    <w:p>
      <w:pPr>
        <w:pStyle w:val="ResumeBullet"/>
      </w:pPr>
      <w:r>
        <w:t>Contributed talk: “Understanding transdermal patch design”, Drug Delivery Research Letters, Boston, 2026.</w:t>
      </w:r>
    </w:p>
    <w:p>
      <w:pPr>
        <w:pStyle w:val="ResumeBullet"/>
      </w:pPr>
      <w:r>
        <w:t>Poster: “New approaches to sustained-release antidiabetic tablets”, Pharmacology and Toxicology Review, Hyderabad, 2025.</w:t>
      </w:r>
    </w:p>
    <w:p>
      <w:pPr>
        <w:pStyle w:val="ResumeBullet"/>
      </w:pPr>
      <w:r>
        <w:t>Contributed talk: “Evidence on transdermal patch design”, Proceedings of the Indian Pharmacy Congress, London, 2025.</w:t>
      </w:r>
    </w:p>
    <w:p>
      <w:pPr>
        <w:pStyle w:val="ResumeBullet"/>
      </w:pPr>
      <w:r>
        <w:t>Keynote: “Towards sustained-release antidiabetic tablets”, Proceedings of the Indian Pharmacy Congress, New Delhi, 2024.</w:t>
      </w:r>
    </w:p>
    <w:p>
      <w:pPr>
        <w:pStyle w:val="ResumeBullet"/>
      </w:pPr>
      <w:r>
        <w:t>Seminar: “Rethinking transdermal patch design”, Drug Delivery Research Letters, Bengaluru, 2024.</w:t>
      </w:r>
    </w:p>
    <w:p>
      <w:pPr>
        <w:pStyle w:val="SectionHeading"/>
        <w:pBdr>
          <w:bottom w:val="single" w:sz="18" w:space="1" w:color="E1BA9C"/>
        </w:pBdr>
      </w:pPr>
      <w:r>
        <w:t>Professional Service</w:t>
      </w:r>
    </w:p>
    <w:p>
      <w:pPr>
        <w:pStyle w:val="ResumeBullet"/>
      </w:pPr>
      <w:r>
        <w:t>Reviewer, Journal of Pharmaceutical Formulation Science</w:t>
      </w:r>
    </w:p>
    <w:p>
      <w:pPr>
        <w:pStyle w:val="ResumeBullet"/>
      </w:pPr>
      <w:r>
        <w:t>Registered pharmacist, state pharmacy council (registration on file)</w:t>
      </w:r>
    </w:p>
    <w:p>
      <w:pPr>
        <w:pStyle w:val="SectionHeading"/>
        <w:pBdr>
          <w:bottom w:val="single" w:sz="18" w:space="1" w:color="E1BA9C"/>
        </w:pBdr>
      </w:pPr>
      <w:r>
        <w:t>Skills</w:t>
      </w:r>
    </w:p>
    <w:p>
      <w:pPr>
        <w:pStyle w:val="BodyText"/>
        <w:ind w:left="1531" w:right="0"/>
      </w:pPr>
      <w:r>
        <w:rPr>
          <w:b/>
          <w:bCs/>
        </w:rPr>
        <w:t xml:space="preserve">Formulation: </w:t>
      </w:r>
      <w:r>
        <w:t>Nanoparticles, liposomes, transdermal patches, QbD</w:t>
      </w:r>
    </w:p>
    <w:p>
      <w:pPr>
        <w:pStyle w:val="BodyText"/>
        <w:ind w:left="1531" w:right="0"/>
      </w:pPr>
      <w:r>
        <w:rPr>
          <w:b/>
          <w:bCs/>
        </w:rPr>
        <w:t xml:space="preserve">Analysis: </w:t>
      </w:r>
      <w:r>
        <w:t>HPLC, DSC, particle sizing, dissolution testing</w:t>
      </w:r>
    </w:p>
    <w:p>
      <w:pPr>
        <w:pStyle w:val="BodyText"/>
        <w:ind w:left="1531" w:right="0"/>
      </w:pPr>
      <w:r>
        <w:rPr>
          <w:b/>
          <w:bCs/>
        </w:rPr>
        <w:t xml:space="preserve">Languages: </w:t>
      </w:r>
      <w:r>
        <w:t>Marathi (native), Hindi, English</w:t>
      </w:r>
    </w:p>
    <w:p>
      <w:pPr>
        <w:pStyle w:val="SectionHeading"/>
        <w:pBdr>
          <w:bottom w:val="single" w:sz="18" w:space="1" w:color="E1BA9C"/>
        </w:pBdr>
      </w:pPr>
      <w:r>
        <w:t>References</w:t>
      </w:r>
    </w:p>
    <w:p>
      <w:pPr>
        <w:pStyle w:val="BodyText"/>
        <w:keepNext/>
        <w:spacing w:after="0"/>
        <w:ind w:left="1531" w:right="0"/>
      </w:pPr>
      <w:r>
        <w:rPr>
          <w:b/>
          <w:bCs/>
        </w:rPr>
        <w:t>Dr. M. Deshpande</w:t>
      </w:r>
    </w:p>
    <w:p>
      <w:pPr>
        <w:pStyle w:val="BodyText"/>
        <w:keepNext/>
        <w:spacing w:after="0"/>
        <w:ind w:left="1531" w:right="0"/>
      </w:pPr>
      <w:r>
        <w:t>Principal, Vidarbha Institute of Pharmaceutical Education</w:t>
      </w:r>
    </w:p>
    <w:p>
      <w:pPr>
        <w:pStyle w:val="BodyText"/>
        <w:spacing w:after="100"/>
        <w:ind w:left="1531" w:right="0"/>
      </w:pPr>
      <w:r>
        <w:t>m.deshpande@pharmacy.edu</w:t>
      </w:r>
    </w:p>
    <w:p>
      <w:pPr>
        <w:pStyle w:val="BodyText"/>
        <w:keepNext/>
        <w:spacing w:after="0"/>
        <w:ind w:left="1531" w:right="0"/>
      </w:pPr>
      <w:r>
        <w:rPr>
          <w:b/>
          <w:bCs/>
        </w:rPr>
        <w:t>Dr. S. Patil</w:t>
      </w:r>
    </w:p>
    <w:p>
      <w:pPr>
        <w:pStyle w:val="BodyText"/>
        <w:keepNext/>
        <w:spacing w:after="0"/>
        <w:ind w:left="1531" w:right="0"/>
      </w:pPr>
      <w:r>
        <w:t>Head of R&amp;D, Sahyadri Generics</w:t>
      </w:r>
    </w:p>
    <w:p>
      <w:pPr>
        <w:pStyle w:val="BodyText"/>
        <w:spacing w:after="100"/>
        <w:ind w:left="1531" w:right="0"/>
      </w:pPr>
      <w:r>
        <w:t>s.patil@company.example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020" w:right="1134" w:bottom="1020" w:left="1134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Page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PAGE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 of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NUMPAGES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Page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PAGE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 of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NUMPAGES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638" w:val="right"/>
      </w:tabs>
      <w:jc w:val="left"/>
    </w:pPr>
    <w:r>
      <w:rPr>
        <w:color w:val="777777"/>
        <w:sz w:val="17"/>
        <w:szCs w:val="17"/>
      </w:rPr>
      <w:t>Dr. Rohan Joshi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■"/>
      <w:lvlJc w:val="left"/>
      <w:pPr>
        <w:ind w:left="1814" w:hanging="227"/>
      </w:pPr>
      <w:rPr>
        <w:rFonts w:ascii="Segoe UI Symbol" w:hAnsi="Segoe UI Symbol" w:cs="Segoe UI Symbol" w:hint="default"/>
        <w:color w:val="B45309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ource Sans 3" w:hAnsi="Source Sans 3" w:eastAsia="Source Sans 3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Source Sans 3" w:hAnsi="Source Sans 3" w:eastAsia="Source Sans 3" w:cs="Mukta"/>
      <w:color w:val="1E1E1E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Archivo" w:hAnsi="Archivo" w:eastAsia="Archivo" w:cs="Mukta"/>
      <w:b/>
      <w:bCs/>
      <w:i w:val="0"/>
      <w:caps/>
      <w:smallCaps w:val="0"/>
      <w:color w:val="FFFFFF"/>
      <w:spacing w:val="40"/>
      <w:sz w:val="48"/>
      <w:szCs w:val="48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Source Sans 3" w:hAnsi="Source Sans 3" w:eastAsia="Source Sans 3" w:cs="Mukta"/>
      <w:b w:val="0"/>
      <w:i w:val="0"/>
      <w:caps w:val="0"/>
      <w:smallCaps w:val="0"/>
      <w:color w:val="E5E7EB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Source Sans 3" w:hAnsi="Source Sans 3" w:eastAsia="Source Sans 3" w:cs="Mukta"/>
      <w:b w:val="0"/>
      <w:i w:val="0"/>
      <w:caps w:val="0"/>
      <w:smallCaps w:val="0"/>
      <w:color w:val="E5E7EB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Archivo" w:hAnsi="Archivo" w:eastAsia="Archivo" w:cs="Mukta"/>
      <w:b/>
      <w:bCs/>
      <w:i w:val="0"/>
      <w:caps/>
      <w:smallCaps w:val="0"/>
      <w:color w:val="B45309"/>
      <w:spacing w:val="28"/>
      <w:sz w:val="23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Source Sans 3" w:hAnsi="Source Sans 3" w:eastAsia="Source Sans 3" w:cs="Mukta"/>
      <w:b/>
      <w:bCs/>
      <w:i w:val="0"/>
      <w:caps w:val="0"/>
      <w:smallCaps w:val="0"/>
      <w:color w:val="1E1E1E"/>
      <w:sz w:val="20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Source Sans 3" w:hAnsi="Source Sans 3" w:eastAsia="Source Sans 3" w:cs="Mukta"/>
      <w:b w:val="0"/>
      <w:i/>
      <w:caps w:val="0"/>
      <w:smallCaps w:val="0"/>
      <w:color w:val="444444"/>
      <w:sz w:val="20"/>
      <w:szCs w:val="20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1984" w:hanging="454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1814" w:hanging="227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Dark Banner · Soft Underline — Pharmaceutics Professor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