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Dr. Lalit Oraon</w:t>
      </w:r>
    </w:p>
    <w:p>
      <w:pPr>
        <w:pStyle w:val="Role"/>
      </w:pPr>
      <w:r>
        <w:t>Associate Professor of Sociology</w:t>
      </w:r>
    </w:p>
    <w:p>
      <w:pPr>
        <w:pStyle w:val="Contact"/>
      </w:pPr>
      <w:r>
        <w:t>Ranchi, Jharkhand</w:t>
      </w:r>
      <w:r>
        <w:rPr>
          <w:color w:val="831843"/>
        </w:rPr>
        <w:t xml:space="preserve">   |   </w:t>
      </w:r>
      <w:r>
        <w:t>+91 94310 52618</w:t>
      </w:r>
      <w:r>
        <w:rPr>
          <w:color w:val="831843"/>
        </w:rPr>
        <w:t xml:space="preserve">   |   </w:t>
      </w:r>
      <w:r>
        <w:t>lalit.oraon@university.edu</w:t>
      </w:r>
    </w:p>
    <w:p>
      <w:pPr>
        <w:pStyle w:val="SectionHeading"/>
        <w:pBdr>
          <w:top w:val="single" w:sz="6" w:space="2" w:color="831843"/>
          <w:left w:val="single" w:sz="6" w:space="4" w:color="831843"/>
          <w:bottom w:val="single" w:sz="6" w:space="2" w:color="831843"/>
          <w:right w:val="single" w:sz="6" w:space="4" w:color="831843"/>
        </w:pBdr>
        <w:ind w:left="57" w:right="57"/>
      </w:pPr>
      <w:r>
        <w:t>Education</w:t>
      </w:r>
    </w:p>
    <w:p>
      <w:pPr>
        <w:pStyle w:val="EntryTitle"/>
        <w:tabs>
          <w:tab w:pos="9298" w:val="right"/>
        </w:tabs>
      </w:pPr>
      <w:r>
        <w:t>Ph.D., Sociology</w:t>
      </w:r>
      <w:r>
        <w:tab/>
      </w:r>
      <w:r>
        <w:rPr>
          <w:b w:val="0"/>
          <w:i w:val="0"/>
          <w:color w:val="555555"/>
        </w:rPr>
        <w:t>2009 – 2014</w:t>
      </w:r>
    </w:p>
    <w:p>
      <w:pPr>
        <w:pStyle w:val="EntryMeta"/>
      </w:pPr>
      <w:r>
        <w:t>Centre for the Study of Social Systems, Northern Capital University</w:t>
      </w:r>
    </w:p>
    <w:p>
      <w:pPr>
        <w:pStyle w:val="BodyText"/>
      </w:pPr>
      <w:r>
        <w:t>Thesis: Seasonal migration and the Adivasi household</w:t>
      </w:r>
    </w:p>
    <w:p>
      <w:pPr>
        <w:pStyle w:val="EntryTitle"/>
        <w:tabs>
          <w:tab w:pos="9298" w:val="right"/>
        </w:tabs>
      </w:pPr>
      <w:r>
        <w:t>M.A., Sociology</w:t>
      </w:r>
      <w:r>
        <w:tab/>
      </w:r>
      <w:r>
        <w:rPr>
          <w:b w:val="0"/>
          <w:i w:val="0"/>
          <w:color w:val="555555"/>
        </w:rPr>
        <w:t>2007 – 2009</w:t>
      </w:r>
    </w:p>
    <w:p>
      <w:pPr>
        <w:pStyle w:val="EntryMeta"/>
      </w:pPr>
      <w:r>
        <w:t>Chotanagpur University</w:t>
      </w:r>
    </w:p>
    <w:p>
      <w:pPr>
        <w:pStyle w:val="BodyText"/>
      </w:pPr>
      <w:r>
        <w:t>First Class First</w:t>
      </w:r>
    </w:p>
    <w:p>
      <w:pPr>
        <w:pStyle w:val="EntryTitle"/>
        <w:tabs>
          <w:tab w:pos="9298" w:val="right"/>
        </w:tabs>
      </w:pPr>
      <w:r>
        <w:t>B.A. (Hons.), Sociology</w:t>
      </w:r>
      <w:r>
        <w:tab/>
      </w:r>
      <w:r>
        <w:rPr>
          <w:b w:val="0"/>
          <w:i w:val="0"/>
          <w:color w:val="555555"/>
        </w:rPr>
        <w:t>2004 – 2007</w:t>
      </w:r>
    </w:p>
    <w:p>
      <w:pPr>
        <w:pStyle w:val="EntryMeta"/>
      </w:pPr>
      <w:r>
        <w:t>St. Xavier's Hill College, Ranchi</w:t>
      </w:r>
    </w:p>
    <w:p>
      <w:pPr>
        <w:pStyle w:val="SectionHeading"/>
        <w:pBdr>
          <w:top w:val="single" w:sz="6" w:space="2" w:color="831843"/>
          <w:left w:val="single" w:sz="6" w:space="4" w:color="831843"/>
          <w:bottom w:val="single" w:sz="6" w:space="2" w:color="831843"/>
          <w:right w:val="single" w:sz="6" w:space="4" w:color="831843"/>
        </w:pBdr>
        <w:ind w:left="57" w:right="57"/>
      </w:pPr>
      <w:r>
        <w:t>Research Experience</w:t>
      </w:r>
    </w:p>
    <w:p>
      <w:pPr>
        <w:pStyle w:val="EntryTitle"/>
        <w:tabs>
          <w:tab w:pos="9298" w:val="right"/>
        </w:tabs>
      </w:pPr>
      <w:r>
        <w:t>Associate Professor</w:t>
      </w:r>
      <w:r>
        <w:tab/>
      </w:r>
      <w:r>
        <w:rPr>
          <w:b w:val="0"/>
          <w:i w:val="0"/>
          <w:color w:val="555555"/>
        </w:rPr>
        <w:t>2018 – Present</w:t>
      </w:r>
    </w:p>
    <w:p>
      <w:pPr>
        <w:pStyle w:val="EntryMeta"/>
      </w:pPr>
      <w:r>
        <w:t>Department of Sociology, Chotanagpur University</w:t>
      </w:r>
    </w:p>
    <w:p>
      <w:pPr>
        <w:pStyle w:val="ResumeBullet"/>
      </w:pPr>
      <w:r>
        <w:t>Lead a 5-year panel study of 800 migrant households.</w:t>
      </w:r>
    </w:p>
    <w:p>
      <w:pPr>
        <w:pStyle w:val="ResumeBullet"/>
      </w:pPr>
      <w:r>
        <w:t>Built a migrant-worker helpline with a civil society partner.</w:t>
      </w:r>
    </w:p>
    <w:p>
      <w:pPr>
        <w:pStyle w:val="EntryTitle"/>
        <w:tabs>
          <w:tab w:pos="9298" w:val="right"/>
        </w:tabs>
      </w:pPr>
      <w:r>
        <w:t>Assistant Professor</w:t>
      </w:r>
      <w:r>
        <w:tab/>
      </w:r>
      <w:r>
        <w:rPr>
          <w:b w:val="0"/>
          <w:i w:val="0"/>
          <w:color w:val="555555"/>
        </w:rPr>
        <w:t>2014 – 2018</w:t>
      </w:r>
    </w:p>
    <w:p>
      <w:pPr>
        <w:pStyle w:val="EntryMeta"/>
      </w:pPr>
      <w:r>
        <w:t>Chotanagpur University</w:t>
      </w:r>
    </w:p>
    <w:p>
      <w:pPr>
        <w:pStyle w:val="ResumeBullet"/>
      </w:pPr>
      <w:r>
        <w:t>Introduced courses on labour and tribal studies.</w:t>
      </w:r>
    </w:p>
    <w:p>
      <w:pPr>
        <w:pStyle w:val="SectionHeading"/>
        <w:pBdr>
          <w:top w:val="single" w:sz="6" w:space="2" w:color="831843"/>
          <w:left w:val="single" w:sz="6" w:space="4" w:color="831843"/>
          <w:bottom w:val="single" w:sz="6" w:space="2" w:color="831843"/>
          <w:right w:val="single" w:sz="6" w:space="4" w:color="831843"/>
        </w:pBdr>
        <w:ind w:left="57" w:right="57"/>
      </w:pPr>
      <w:r>
        <w:t>Grants, Awards &amp; Honours</w:t>
      </w:r>
    </w:p>
    <w:p>
      <w:pPr>
        <w:pStyle w:val="ResumeBullet"/>
      </w:pPr>
      <w:r>
        <w:t>Major research project, social science research council (2019–2024), ₹38 lakh</w:t>
      </w:r>
    </w:p>
    <w:p>
      <w:pPr>
        <w:pStyle w:val="ResumeBullet"/>
      </w:pPr>
      <w:r>
        <w:t>Book prize, national sociological society (2021)</w:t>
      </w:r>
    </w:p>
    <w:p>
      <w:pPr>
        <w:pStyle w:val="SectionHeading"/>
        <w:pBdr>
          <w:top w:val="single" w:sz="6" w:space="2" w:color="831843"/>
          <w:left w:val="single" w:sz="6" w:space="4" w:color="831843"/>
          <w:bottom w:val="single" w:sz="6" w:space="2" w:color="831843"/>
          <w:right w:val="single" w:sz="6" w:space="4" w:color="831843"/>
        </w:pBdr>
        <w:ind w:left="57" w:right="57"/>
      </w:pPr>
      <w:r>
        <w:t>Publications</w:t>
      </w:r>
    </w:p>
    <w:p>
      <w:pPr>
        <w:pStyle w:val="Citation"/>
      </w:pPr>
      <w:r>
        <w:rPr>
          <w:b/>
          <w:bCs/>
          <w:color w:val="831843"/>
        </w:rPr>
        <w:t xml:space="preserve">[1]  </w:t>
      </w:r>
      <w:r>
        <w:t xml:space="preserve">Kim, J., Fischer, A., &amp; </w:t>
      </w:r>
      <w:r>
        <w:rPr>
          <w:b/>
          <w:bCs/>
        </w:rPr>
        <w:t>Oraon, L.</w:t>
      </w:r>
      <w:r/>
      <w:r>
        <w:t xml:space="preserve"> (2026). New approaches to women in self-help groups. </w:t>
      </w:r>
      <w:r>
        <w:rPr>
          <w:i/>
        </w:rPr>
        <w:t>Indian Journal of Sociology and Society</w:t>
      </w:r>
      <w:r>
        <w:t>, 42(4), 577–590.</w:t>
      </w:r>
    </w:p>
    <w:p>
      <w:pPr>
        <w:pStyle w:val="Citation"/>
      </w:pPr>
      <w:r>
        <w:rPr>
          <w:b/>
          <w:bCs/>
          <w:color w:val="831843"/>
        </w:rPr>
        <w:t xml:space="preserve">[2]  </w:t>
      </w:r>
      <w:r>
        <w:t xml:space="preserve">Mensah, K., Haddad, N., &amp; </w:t>
      </w:r>
      <w:r>
        <w:rPr>
          <w:b/>
          <w:bCs/>
        </w:rPr>
        <w:t>Oraon, L.</w:t>
      </w:r>
      <w:r/>
      <w:r>
        <w:t xml:space="preserve"> (2026). A study of migrant workers in construction. </w:t>
      </w:r>
      <w:r>
        <w:rPr>
          <w:i/>
        </w:rPr>
        <w:t>Indian Journal of Sociology and Society</w:t>
      </w:r>
      <w:r>
        <w:t>, 23(8), 77–90.</w:t>
      </w:r>
    </w:p>
    <w:p>
      <w:pPr>
        <w:pStyle w:val="Citation"/>
      </w:pPr>
      <w:r>
        <w:rPr>
          <w:b/>
          <w:bCs/>
          <w:color w:val="831843"/>
        </w:rPr>
        <w:t xml:space="preserve">[3]  </w:t>
      </w:r>
      <w:r>
        <w:t xml:space="preserve">Rao, S., </w:t>
      </w:r>
      <w:r>
        <w:rPr>
          <w:b/>
          <w:bCs/>
        </w:rPr>
        <w:t>Oraon, L.</w:t>
      </w:r>
      <w:r>
        <w:t>, Okafor, D., &amp; Kim, J.</w:t>
      </w:r>
      <w:r>
        <w:t xml:space="preserve"> (2026). Towards informal care work. </w:t>
      </w:r>
      <w:r>
        <w:rPr>
          <w:i/>
        </w:rPr>
        <w:t>Proceedings of the All-India Sociological Conference</w:t>
      </w:r>
      <w:r>
        <w:t>, pp. 180–192.</w:t>
      </w:r>
    </w:p>
    <w:p>
      <w:pPr>
        <w:pStyle w:val="Citation"/>
      </w:pPr>
      <w:r>
        <w:rPr>
          <w:b/>
          <w:bCs/>
          <w:color w:val="831843"/>
        </w:rPr>
        <w:t xml:space="preserve">[4]  </w:t>
      </w:r>
      <w:r/>
      <w:r>
        <w:rPr>
          <w:b/>
          <w:bCs/>
        </w:rPr>
        <w:t>Oraon, L.</w:t>
      </w:r>
      <w:r>
        <w:t>, &amp; Mensah, K.</w:t>
      </w:r>
      <w:r>
        <w:t xml:space="preserve"> (2025). Understanding women in self-help groups. </w:t>
      </w:r>
      <w:r>
        <w:rPr>
          <w:i/>
        </w:rPr>
        <w:t>Gender and Development Studies</w:t>
      </w:r>
      <w:r>
        <w:t>, 10(2), 810–822.</w:t>
      </w:r>
    </w:p>
    <w:p>
      <w:pPr>
        <w:pStyle w:val="Citation"/>
      </w:pPr>
      <w:r>
        <w:rPr>
          <w:b/>
          <w:bCs/>
          <w:color w:val="831843"/>
        </w:rPr>
        <w:t xml:space="preserve">[5]  </w:t>
      </w:r>
      <w:r>
        <w:t xml:space="preserve">Rao, S., </w:t>
      </w:r>
      <w:r>
        <w:rPr>
          <w:b/>
          <w:bCs/>
        </w:rPr>
        <w:t>Oraon, L.</w:t>
      </w:r>
      <w:r>
        <w:t>, &amp; Okafor, D.</w:t>
      </w:r>
      <w:r>
        <w:t xml:space="preserve"> (2025). Towards women in self-help groups. </w:t>
      </w:r>
      <w:r>
        <w:rPr>
          <w:i/>
        </w:rPr>
        <w:t>Gender and Development Studies</w:t>
      </w:r>
      <w:r>
        <w:t>, 41(10), 803–821.</w:t>
      </w:r>
    </w:p>
    <w:p>
      <w:pPr>
        <w:pStyle w:val="Citation"/>
      </w:pPr>
      <w:r>
        <w:rPr>
          <w:b/>
          <w:bCs/>
          <w:color w:val="831843"/>
        </w:rPr>
        <w:t xml:space="preserve">[6]  </w:t>
      </w:r>
      <w:r/>
      <w:r>
        <w:rPr>
          <w:b/>
          <w:bCs/>
        </w:rPr>
        <w:t>Oraon, L.</w:t>
      </w:r>
      <w:r>
        <w:t>, Chen, L., Gupta, R., &amp; Banerjee, P.</w:t>
      </w:r>
      <w:r>
        <w:t xml:space="preserve"> (2025). Measuring digital divide in rural schools. </w:t>
      </w:r>
      <w:r>
        <w:rPr>
          <w:i/>
        </w:rPr>
        <w:t>Journal of Urban Social Research</w:t>
      </w:r>
      <w:r>
        <w:t>, 41(12), 477–490.</w:t>
      </w:r>
    </w:p>
    <w:p>
      <w:pPr>
        <w:pStyle w:val="Citation"/>
      </w:pPr>
      <w:r>
        <w:rPr>
          <w:b/>
          <w:bCs/>
          <w:color w:val="831843"/>
        </w:rPr>
        <w:t xml:space="preserve">[7]  </w:t>
      </w:r>
      <w:r/>
      <w:r>
        <w:rPr>
          <w:b/>
          <w:bCs/>
        </w:rPr>
        <w:t>Oraon, L.</w:t>
      </w:r>
      <w:r>
        <w:t>, Banerjee, P., &amp; Rao, S.</w:t>
      </w:r>
      <w:r>
        <w:t xml:space="preserve"> (2024). Revisiting women in self-help groups. </w:t>
      </w:r>
      <w:r>
        <w:rPr>
          <w:i/>
        </w:rPr>
        <w:t>Gender and Development Studies</w:t>
      </w:r>
      <w:r>
        <w:t>, 10(8), 275–292.</w:t>
      </w:r>
    </w:p>
    <w:p>
      <w:pPr>
        <w:pStyle w:val="Citation"/>
      </w:pPr>
      <w:r>
        <w:rPr>
          <w:b/>
          <w:bCs/>
          <w:color w:val="831843"/>
        </w:rPr>
        <w:t xml:space="preserve">[8]  </w:t>
      </w:r>
      <w:r/>
      <w:r>
        <w:rPr>
          <w:b/>
          <w:bCs/>
        </w:rPr>
        <w:t>Oraon, L.</w:t>
      </w:r>
      <w:r>
        <w:t>, Chen, L., Fischer, A., &amp; Sato, Y.</w:t>
      </w:r>
      <w:r>
        <w:t xml:space="preserve"> (2024). Towards migrant workers in construction. </w:t>
      </w:r>
      <w:r>
        <w:rPr>
          <w:i/>
        </w:rPr>
        <w:t>Journal of Urban Social Research</w:t>
      </w:r>
      <w:r>
        <w:t>, 42(2), 573–594.</w:t>
      </w:r>
    </w:p>
    <w:p>
      <w:pPr>
        <w:pStyle w:val="Citation"/>
      </w:pPr>
      <w:r>
        <w:rPr>
          <w:b/>
          <w:bCs/>
          <w:color w:val="831843"/>
        </w:rPr>
        <w:t xml:space="preserve">[9]  </w:t>
      </w:r>
      <w:r>
        <w:t xml:space="preserve">Okafor, D., &amp; </w:t>
      </w:r>
      <w:r>
        <w:rPr>
          <w:b/>
          <w:bCs/>
        </w:rPr>
        <w:t>Oraon, L.</w:t>
      </w:r>
      <w:r/>
      <w:r>
        <w:t xml:space="preserve"> (2024). Rethinking informal care work. </w:t>
      </w:r>
      <w:r>
        <w:rPr>
          <w:i/>
        </w:rPr>
        <w:t>Proceedings of the All-India Sociological Conference</w:t>
      </w:r>
      <w:r>
        <w:t>, pp. 616–628.</w:t>
      </w:r>
    </w:p>
    <w:p>
      <w:pPr>
        <w:pStyle w:val="Citation"/>
      </w:pPr>
      <w:r>
        <w:rPr>
          <w:b/>
          <w:bCs/>
          <w:color w:val="831843"/>
        </w:rPr>
        <w:t xml:space="preserve">[10]  </w:t>
      </w:r>
      <w:r/>
      <w:r>
        <w:rPr>
          <w:b/>
          <w:bCs/>
        </w:rPr>
        <w:t>Oraon, L.</w:t>
      </w:r>
      <w:r>
        <w:t>, &amp; Mensah, K.</w:t>
      </w:r>
      <w:r>
        <w:t xml:space="preserve"> (2023). A study of informal care work. </w:t>
      </w:r>
      <w:r>
        <w:rPr>
          <w:i/>
        </w:rPr>
        <w:t>Indian Journal of Sociology and Society</w:t>
      </w:r>
      <w:r>
        <w:t>, 5(2), 698–715.</w:t>
      </w:r>
    </w:p>
    <w:p>
      <w:pPr>
        <w:pStyle w:val="SectionHeading"/>
        <w:pBdr>
          <w:top w:val="single" w:sz="6" w:space="2" w:color="831843"/>
          <w:left w:val="single" w:sz="6" w:space="4" w:color="831843"/>
          <w:bottom w:val="single" w:sz="6" w:space="2" w:color="831843"/>
          <w:right w:val="single" w:sz="6" w:space="4" w:color="831843"/>
        </w:pBdr>
        <w:ind w:left="57" w:right="57"/>
      </w:pPr>
      <w:r>
        <w:t>Books</w:t>
      </w:r>
    </w:p>
    <w:p>
      <w:pPr>
        <w:pStyle w:val="Citation"/>
      </w:pPr>
      <w:r>
        <w:t>Oraon, L. (2020). Between Kiln and Village: Adivasi Migrants in Eastern India. New Delhi: Lotus Leaf Press.</w:t>
      </w:r>
    </w:p>
    <w:p>
      <w:pPr>
        <w:pStyle w:val="SectionHeading"/>
        <w:pBdr>
          <w:top w:val="single" w:sz="6" w:space="2" w:color="831843"/>
          <w:left w:val="single" w:sz="6" w:space="4" w:color="831843"/>
          <w:bottom w:val="single" w:sz="6" w:space="2" w:color="831843"/>
          <w:right w:val="single" w:sz="6" w:space="4" w:color="831843"/>
        </w:pBdr>
        <w:ind w:left="57" w:right="57"/>
      </w:pPr>
      <w:r>
        <w:t>Conference Presentations &amp; Invited Talks</w:t>
      </w:r>
    </w:p>
    <w:p>
      <w:pPr>
        <w:pStyle w:val="ResumeBullet"/>
      </w:pPr>
      <w:r>
        <w:t>Keynote: “New approaches to migrant workers in construction”, Symposium on Urban Social Research, Chennai, 2026.</w:t>
      </w:r>
    </w:p>
    <w:p>
      <w:pPr>
        <w:pStyle w:val="ResumeBullet"/>
      </w:pPr>
      <w:r>
        <w:t>Keynote: “Scaling youth aspirations in small towns”, Indian Symposium on Sociology and Society, Hyderabad, 2026.</w:t>
      </w:r>
    </w:p>
    <w:p>
      <w:pPr>
        <w:pStyle w:val="ResumeBullet"/>
      </w:pPr>
      <w:r>
        <w:t>Contributed talk: “Rethinking migrant workers in construction”, Gender and Development Studies, Berlin, 2025.</w:t>
      </w:r>
    </w:p>
    <w:p>
      <w:pPr>
        <w:pStyle w:val="ResumeBullet"/>
      </w:pPr>
      <w:r>
        <w:t>Seminar: “Evidence on informal care work”, Gender and Development Studies, Hyderabad, 2025.</w:t>
      </w:r>
    </w:p>
    <w:p>
      <w:pPr>
        <w:pStyle w:val="ResumeBullet"/>
      </w:pPr>
      <w:r>
        <w:t>Contributed talk: “Designing for migrant workers in construction”, Proceedings of the All-India Sociological Conference, New Delhi, 2024.</w:t>
      </w:r>
    </w:p>
    <w:p>
      <w:pPr>
        <w:pStyle w:val="SectionHeading"/>
        <w:pBdr>
          <w:top w:val="single" w:sz="6" w:space="2" w:color="831843"/>
          <w:left w:val="single" w:sz="6" w:space="4" w:color="831843"/>
          <w:bottom w:val="single" w:sz="6" w:space="2" w:color="831843"/>
          <w:right w:val="single" w:sz="6" w:space="4" w:color="831843"/>
        </w:pBdr>
        <w:ind w:left="57" w:right="57"/>
      </w:pPr>
      <w:r>
        <w:t>Teaching</w:t>
      </w:r>
    </w:p>
    <w:p>
      <w:pPr>
        <w:pStyle w:val="ResumeBullet"/>
      </w:pPr>
      <w:r>
        <w:t>Sociology of Work (M.A.)</w:t>
      </w:r>
    </w:p>
    <w:p>
      <w:pPr>
        <w:pStyle w:val="ResumeBullet"/>
      </w:pPr>
      <w:r>
        <w:t>Qualitative Research Methods</w:t>
      </w:r>
    </w:p>
    <w:p>
      <w:pPr>
        <w:pStyle w:val="ResumeBullet"/>
      </w:pPr>
      <w:r>
        <w:t>Tribal Societies in India</w:t>
      </w:r>
    </w:p>
    <w:p>
      <w:pPr>
        <w:pStyle w:val="SectionHeading"/>
        <w:pBdr>
          <w:top w:val="single" w:sz="6" w:space="2" w:color="831843"/>
          <w:left w:val="single" w:sz="6" w:space="4" w:color="831843"/>
          <w:bottom w:val="single" w:sz="6" w:space="2" w:color="831843"/>
          <w:right w:val="single" w:sz="6" w:space="4" w:color="831843"/>
        </w:pBdr>
        <w:ind w:left="57" w:right="57"/>
      </w:pPr>
      <w:r>
        <w:t>Professional Service</w:t>
      </w:r>
    </w:p>
    <w:p>
      <w:pPr>
        <w:pStyle w:val="ResumeBullet"/>
      </w:pPr>
      <w:r>
        <w:t>Member, state labour welfare advisory board</w:t>
      </w:r>
    </w:p>
    <w:p>
      <w:pPr>
        <w:pStyle w:val="ResumeBullet"/>
      </w:pPr>
      <w:r>
        <w:t>Reviewer, Indian Journal of Sociology and Society</w:t>
      </w:r>
    </w:p>
    <w:p>
      <w:pPr>
        <w:pStyle w:val="SectionHeading"/>
        <w:pBdr>
          <w:top w:val="single" w:sz="6" w:space="2" w:color="831843"/>
          <w:left w:val="single" w:sz="6" w:space="4" w:color="831843"/>
          <w:bottom w:val="single" w:sz="6" w:space="2" w:color="831843"/>
          <w:right w:val="single" w:sz="6" w:space="4" w:color="831843"/>
        </w:pBdr>
        <w:ind w:left="57" w:right="57"/>
      </w:pPr>
      <w:r>
        <w:t>Skills</w:t>
      </w:r>
    </w:p>
    <w:p>
      <w:pPr>
        <w:pStyle w:val="BodyText"/>
      </w:pPr>
      <w:r>
        <w:rPr>
          <w:b/>
          <w:bCs/>
        </w:rPr>
        <w:t xml:space="preserve">Methods: </w:t>
      </w:r>
      <w:r>
        <w:t>Ethnography, panel surveys, life histories</w:t>
      </w:r>
    </w:p>
    <w:p>
      <w:pPr>
        <w:pStyle w:val="BodyText"/>
      </w:pPr>
      <w:r>
        <w:rPr>
          <w:b/>
          <w:bCs/>
        </w:rPr>
        <w:t xml:space="preserve">Software: </w:t>
      </w:r>
      <w:r>
        <w:t>NVivo, Stata, KoboToolbox</w:t>
      </w:r>
    </w:p>
    <w:p>
      <w:pPr>
        <w:pStyle w:val="BodyText"/>
      </w:pPr>
      <w:r>
        <w:rPr>
          <w:b/>
          <w:bCs/>
        </w:rPr>
        <w:t xml:space="preserve">Languages: </w:t>
      </w:r>
      <w:r>
        <w:t>Kurukh (native), Hindi, English, Sadri</w:t>
      </w:r>
    </w:p>
    <w:p>
      <w:pPr>
        <w:pStyle w:val="SectionHeading"/>
        <w:pBdr>
          <w:top w:val="single" w:sz="6" w:space="2" w:color="831843"/>
          <w:left w:val="single" w:sz="6" w:space="4" w:color="831843"/>
          <w:bottom w:val="single" w:sz="6" w:space="2" w:color="831843"/>
          <w:right w:val="single" w:sz="6" w:space="4" w:color="831843"/>
        </w:pBdr>
        <w:ind w:left="57" w:right="57"/>
      </w:pPr>
      <w:r>
        <w:t>References</w:t>
      </w:r>
    </w:p>
    <w:p>
      <w:pPr>
        <w:pStyle w:val="BodyText"/>
        <w:keepNext/>
        <w:spacing w:after="0"/>
      </w:pPr>
      <w:r>
        <w:rPr>
          <w:b/>
          <w:bCs/>
        </w:rPr>
        <w:t>Prof. M. Thakur</w:t>
      </w:r>
    </w:p>
    <w:p>
      <w:pPr>
        <w:pStyle w:val="BodyText"/>
        <w:keepNext/>
        <w:spacing w:after="0"/>
      </w:pPr>
      <w:r>
        <w:t>Professor, Northern Capital University</w:t>
      </w:r>
    </w:p>
    <w:p>
      <w:pPr>
        <w:pStyle w:val="BodyText"/>
        <w:spacing w:after="100"/>
      </w:pPr>
      <w:r>
        <w:t>m.thakur@university.edu</w:t>
      </w:r>
    </w:p>
    <w:p>
      <w:pPr>
        <w:pStyle w:val="BodyText"/>
        <w:keepNext/>
        <w:spacing w:after="0"/>
      </w:pPr>
      <w:r>
        <w:rPr>
          <w:b/>
          <w:bCs/>
        </w:rPr>
        <w:t>Prof. A. Minz</w:t>
      </w:r>
    </w:p>
    <w:p>
      <w:pPr>
        <w:pStyle w:val="BodyText"/>
        <w:keepNext/>
        <w:spacing w:after="0"/>
      </w:pPr>
      <w:r>
        <w:t>Former Vice-Chancellor, Chotanagpur University</w:t>
      </w:r>
    </w:p>
    <w:p>
      <w:pPr>
        <w:pStyle w:val="BodyText"/>
        <w:spacing w:after="100"/>
      </w:pPr>
      <w:r>
        <w:t>a.minz@university.edu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077" w:right="1304" w:bottom="1020" w:left="1304" w:header="510" w:footer="51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Roboto" w:hAnsi="Roboto" w:eastAsia="Roboto" w:cs="Roboto"/>
        <w:color w:val="888888"/>
        <w:sz w:val="16"/>
        <w:szCs w:val="16"/>
      </w:rPr>
      <w:t xml:space="preserve">Page </w:t>
    </w:r>
    <w:r>
      <w:rPr>
        <w:rFonts w:ascii="Roboto" w:hAnsi="Roboto" w:eastAsia="Roboto" w:cs="Roboto"/>
        <w:color w:val="888888"/>
        <w:sz w:val="16"/>
        <w:szCs w:val="16"/>
      </w:rPr>
      <w:fldChar w:fldCharType="begin"/>
    </w:r>
    <w:r>
      <w:rPr>
        <w:rFonts w:ascii="Roboto" w:hAnsi="Roboto" w:eastAsia="Roboto" w:cs="Roboto"/>
        <w:color w:val="888888"/>
        <w:sz w:val="16"/>
        <w:szCs w:val="16"/>
      </w:rPr>
      <w:instrText xml:space="preserve"> PAGE </w:instrText>
    </w:r>
    <w:r>
      <w:rPr>
        <w:rFonts w:ascii="Roboto" w:hAnsi="Roboto" w:eastAsia="Roboto" w:cs="Roboto"/>
        <w:color w:val="888888"/>
        <w:sz w:val="16"/>
        <w:szCs w:val="16"/>
      </w:rPr>
      <w:fldChar w:fldCharType="separate"/>
    </w:r>
    <w:r>
      <w:rPr>
        <w:rFonts w:ascii="Roboto" w:hAnsi="Roboto" w:eastAsia="Roboto" w:cs="Roboto"/>
        <w:color w:val="888888"/>
        <w:sz w:val="16"/>
        <w:szCs w:val="16"/>
      </w:rPr>
      <w:t>1</w:t>
    </w:r>
    <w:r>
      <w:rPr>
        <w:rFonts w:ascii="Roboto" w:hAnsi="Roboto" w:eastAsia="Roboto" w:cs="Roboto"/>
        <w:color w:val="888888"/>
        <w:sz w:val="16"/>
        <w:szCs w:val="16"/>
      </w:rPr>
      <w:fldChar w:fldCharType="end"/>
    </w:r>
    <w:r>
      <w:rPr>
        <w:rFonts w:ascii="Roboto" w:hAnsi="Roboto" w:eastAsia="Roboto" w:cs="Roboto"/>
        <w:color w:val="888888"/>
        <w:sz w:val="16"/>
        <w:szCs w:val="16"/>
      </w:rPr>
      <w:t xml:space="preserve"> of </w:t>
    </w:r>
    <w:r>
      <w:rPr>
        <w:rFonts w:ascii="Roboto" w:hAnsi="Roboto" w:eastAsia="Roboto" w:cs="Roboto"/>
        <w:color w:val="888888"/>
        <w:sz w:val="16"/>
        <w:szCs w:val="16"/>
      </w:rPr>
      <w:fldChar w:fldCharType="begin"/>
    </w:r>
    <w:r>
      <w:rPr>
        <w:rFonts w:ascii="Roboto" w:hAnsi="Roboto" w:eastAsia="Roboto" w:cs="Roboto"/>
        <w:color w:val="888888"/>
        <w:sz w:val="16"/>
        <w:szCs w:val="16"/>
      </w:rPr>
      <w:instrText xml:space="preserve"> NUMPAGES </w:instrText>
    </w:r>
    <w:r>
      <w:rPr>
        <w:rFonts w:ascii="Roboto" w:hAnsi="Roboto" w:eastAsia="Roboto" w:cs="Roboto"/>
        <w:color w:val="888888"/>
        <w:sz w:val="16"/>
        <w:szCs w:val="16"/>
      </w:rPr>
      <w:fldChar w:fldCharType="separate"/>
    </w:r>
    <w:r>
      <w:rPr>
        <w:rFonts w:ascii="Roboto" w:hAnsi="Roboto" w:eastAsia="Roboto" w:cs="Roboto"/>
        <w:color w:val="888888"/>
        <w:sz w:val="16"/>
        <w:szCs w:val="16"/>
      </w:rPr>
      <w:t>1</w:t>
    </w:r>
    <w:r>
      <w:rPr>
        <w:rFonts w:ascii="Roboto" w:hAnsi="Roboto" w:eastAsia="Roboto" w:cs="Roboto"/>
        <w:color w:val="888888"/>
        <w:sz w:val="16"/>
        <w:szCs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Roboto" w:hAnsi="Roboto" w:eastAsia="Roboto" w:cs="Roboto"/>
        <w:color w:val="888888"/>
        <w:sz w:val="16"/>
        <w:szCs w:val="16"/>
      </w:rPr>
      <w:t xml:space="preserve">Page </w:t>
    </w:r>
    <w:r>
      <w:rPr>
        <w:rFonts w:ascii="Roboto" w:hAnsi="Roboto" w:eastAsia="Roboto" w:cs="Roboto"/>
        <w:color w:val="888888"/>
        <w:sz w:val="16"/>
        <w:szCs w:val="16"/>
      </w:rPr>
      <w:fldChar w:fldCharType="begin"/>
    </w:r>
    <w:r>
      <w:rPr>
        <w:rFonts w:ascii="Roboto" w:hAnsi="Roboto" w:eastAsia="Roboto" w:cs="Roboto"/>
        <w:color w:val="888888"/>
        <w:sz w:val="16"/>
        <w:szCs w:val="16"/>
      </w:rPr>
      <w:instrText xml:space="preserve"> PAGE </w:instrText>
    </w:r>
    <w:r>
      <w:rPr>
        <w:rFonts w:ascii="Roboto" w:hAnsi="Roboto" w:eastAsia="Roboto" w:cs="Roboto"/>
        <w:color w:val="888888"/>
        <w:sz w:val="16"/>
        <w:szCs w:val="16"/>
      </w:rPr>
      <w:fldChar w:fldCharType="separate"/>
    </w:r>
    <w:r>
      <w:rPr>
        <w:rFonts w:ascii="Roboto" w:hAnsi="Roboto" w:eastAsia="Roboto" w:cs="Roboto"/>
        <w:color w:val="888888"/>
        <w:sz w:val="16"/>
        <w:szCs w:val="16"/>
      </w:rPr>
      <w:t>1</w:t>
    </w:r>
    <w:r>
      <w:rPr>
        <w:rFonts w:ascii="Roboto" w:hAnsi="Roboto" w:eastAsia="Roboto" w:cs="Roboto"/>
        <w:color w:val="888888"/>
        <w:sz w:val="16"/>
        <w:szCs w:val="16"/>
      </w:rPr>
      <w:fldChar w:fldCharType="end"/>
    </w:r>
    <w:r>
      <w:rPr>
        <w:rFonts w:ascii="Roboto" w:hAnsi="Roboto" w:eastAsia="Roboto" w:cs="Roboto"/>
        <w:color w:val="888888"/>
        <w:sz w:val="16"/>
        <w:szCs w:val="16"/>
      </w:rPr>
      <w:t xml:space="preserve"> of </w:t>
    </w:r>
    <w:r>
      <w:rPr>
        <w:rFonts w:ascii="Roboto" w:hAnsi="Roboto" w:eastAsia="Roboto" w:cs="Roboto"/>
        <w:color w:val="888888"/>
        <w:sz w:val="16"/>
        <w:szCs w:val="16"/>
      </w:rPr>
      <w:fldChar w:fldCharType="begin"/>
    </w:r>
    <w:r>
      <w:rPr>
        <w:rFonts w:ascii="Roboto" w:hAnsi="Roboto" w:eastAsia="Roboto" w:cs="Roboto"/>
        <w:color w:val="888888"/>
        <w:sz w:val="16"/>
        <w:szCs w:val="16"/>
      </w:rPr>
      <w:instrText xml:space="preserve"> NUMPAGES </w:instrText>
    </w:r>
    <w:r>
      <w:rPr>
        <w:rFonts w:ascii="Roboto" w:hAnsi="Roboto" w:eastAsia="Roboto" w:cs="Roboto"/>
        <w:color w:val="888888"/>
        <w:sz w:val="16"/>
        <w:szCs w:val="16"/>
      </w:rPr>
      <w:fldChar w:fldCharType="separate"/>
    </w:r>
    <w:r>
      <w:rPr>
        <w:rFonts w:ascii="Roboto" w:hAnsi="Roboto" w:eastAsia="Roboto" w:cs="Roboto"/>
        <w:color w:val="888888"/>
        <w:sz w:val="16"/>
        <w:szCs w:val="16"/>
      </w:rPr>
      <w:t>1</w:t>
    </w:r>
    <w:r>
      <w:rPr>
        <w:rFonts w:ascii="Roboto" w:hAnsi="Roboto" w:eastAsia="Roboto" w:cs="Roboto"/>
        <w:color w:val="888888"/>
        <w:sz w:val="16"/>
        <w:szCs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ontact"/>
      <w:pBdr>
        <w:bottom w:val="single" w:sz="4" w:space="3" w:color="BBBBBB"/>
      </w:pBdr>
      <w:tabs>
        <w:tab w:pos="9298" w:val="right"/>
      </w:tabs>
      <w:jc w:val="left"/>
    </w:pPr>
    <w:r>
      <w:rPr>
        <w:color w:val="777777"/>
        <w:sz w:val="17"/>
        <w:szCs w:val="17"/>
      </w:rPr>
      <w:t>Dr. Lalit Oraon — Curriculum Vitae</w:t>
    </w:r>
    <w:r>
      <w:tab/>
    </w:r>
    <w:r>
      <w:rPr>
        <w:color w:val="777777"/>
        <w:sz w:val="17"/>
        <w:szCs w:val="17"/>
      </w:rPr>
      <w:t xml:space="preserve">Page </w:t>
    </w:r>
    <w:r>
      <w:rPr>
        <w:color w:val="777777"/>
        <w:sz w:val="17"/>
        <w:szCs w:val="17"/>
      </w:rPr>
      <w:fldChar w:fldCharType="begin"/>
    </w:r>
    <w:r>
      <w:rPr>
        <w:color w:val="777777"/>
        <w:sz w:val="17"/>
        <w:szCs w:val="17"/>
      </w:rPr>
      <w:instrText xml:space="preserve"> PAGE </w:instrText>
    </w:r>
    <w:r>
      <w:rPr>
        <w:color w:val="777777"/>
        <w:sz w:val="17"/>
        <w:szCs w:val="17"/>
      </w:rPr>
      <w:fldChar w:fldCharType="separate"/>
    </w:r>
    <w:r>
      <w:rPr>
        <w:color w:val="777777"/>
        <w:sz w:val="17"/>
        <w:szCs w:val="17"/>
      </w:rPr>
      <w:t>1</w:t>
    </w:r>
    <w:r>
      <w:rPr>
        <w:color w:val="777777"/>
        <w:sz w:val="17"/>
        <w:szCs w:val="17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–"/>
      <w:lvlJc w:val="left"/>
      <w:pPr>
        <w:ind w:left="283" w:hanging="227"/>
      </w:pPr>
      <w:rPr>
        <w:rFonts w:ascii="Arial" w:hAnsi="Arial" w:cs="Arial" w:hint="default"/>
        <w:color w:val="831843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Roboto" w:hAnsi="Roboto" w:eastAsia="Roboto" w:cs="Mukta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Roboto" w:hAnsi="Roboto" w:eastAsia="Roboto" w:cs="Mukta"/>
      <w:color w:val="1E1E1E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40" w:before="0" w:line="276" w:lineRule="auto"/>
    </w:pPr>
    <w:rPr>
      <w:rFonts w:ascii="Roboto" w:hAnsi="Roboto" w:eastAsia="Roboto" w:cs="Mukta"/>
      <w:b w:val="0"/>
      <w:i w:val="0"/>
      <w:caps w:val="0"/>
      <w:smallCaps w:val="0"/>
      <w:color w:val="1E1E1E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  <w:jc w:val="center"/>
    </w:pPr>
    <w:rPr>
      <w:rFonts w:ascii="Oswald" w:hAnsi="Oswald" w:eastAsia="Oswald" w:cs="Mukta"/>
      <w:b/>
      <w:bCs/>
      <w:i w:val="0"/>
      <w:caps w:val="0"/>
      <w:smallCaps w:val="0"/>
      <w:color w:val="1E1E1E"/>
      <w:sz w:val="52"/>
      <w:szCs w:val="52"/>
    </w:rPr>
  </w:style>
  <w:style w:type="paragraph" w:customStyle="1" w:styleId="Role">
    <w:name w:val="Role"/>
    <w:basedOn w:val="Normal"/>
    <w:qFormat/>
    <w:pPr>
      <w:keepNext w:val="0"/>
      <w:widowControl/>
      <w:spacing w:before="0" w:after="40"/>
      <w:jc w:val="center"/>
    </w:pPr>
    <w:rPr>
      <w:rFonts w:ascii="Roboto" w:hAnsi="Roboto" w:eastAsia="Roboto" w:cs="Mukta"/>
      <w:b w:val="0"/>
      <w:i w:val="0"/>
      <w:caps w:val="0"/>
      <w:smallCaps w:val="0"/>
      <w:color w:val="1E1E1E"/>
      <w:sz w:val="21"/>
      <w:szCs w:val="21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center"/>
    </w:pPr>
    <w:rPr>
      <w:rFonts w:ascii="Roboto" w:hAnsi="Roboto" w:eastAsia="Roboto" w:cs="Mukta"/>
      <w:b w:val="0"/>
      <w:i w:val="0"/>
      <w:caps w:val="0"/>
      <w:smallCaps w:val="0"/>
      <w:color w:val="555555"/>
      <w:sz w:val="17"/>
      <w:szCs w:val="17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00"/>
    </w:pPr>
    <w:rPr>
      <w:rFonts w:ascii="Oswald" w:hAnsi="Oswald" w:eastAsia="Oswald" w:cs="Mukta"/>
      <w:b/>
      <w:bCs/>
      <w:i w:val="0"/>
      <w:caps/>
      <w:smallCaps w:val="0"/>
      <w:color w:val="831843"/>
      <w:spacing w:val="28"/>
      <w:sz w:val="22"/>
      <w:szCs w:val="22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8" w:lineRule="auto"/>
    </w:pPr>
    <w:rPr>
      <w:rFonts w:ascii="Roboto" w:hAnsi="Roboto" w:eastAsia="Roboto" w:cs="Mukta"/>
      <w:b w:val="0"/>
      <w:i w:val="0"/>
      <w:caps w:val="0"/>
      <w:smallCaps w:val="0"/>
      <w:color w:val="1E1E1E"/>
      <w:sz w:val="19"/>
      <w:szCs w:val="19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0"/>
    </w:pPr>
    <w:rPr>
      <w:rFonts w:ascii="Roboto" w:hAnsi="Roboto" w:eastAsia="Roboto" w:cs="Mukta"/>
      <w:b/>
      <w:bCs/>
      <w:i w:val="0"/>
      <w:caps w:val="0"/>
      <w:smallCaps w:val="0"/>
      <w:color w:val="1E1E1E"/>
      <w:sz w:val="19"/>
      <w:szCs w:val="19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Roboto" w:hAnsi="Roboto" w:eastAsia="Roboto" w:cs="Mukta"/>
      <w:b w:val="0"/>
      <w:i/>
      <w:caps w:val="0"/>
      <w:smallCaps w:val="0"/>
      <w:color w:val="444444"/>
      <w:sz w:val="19"/>
      <w:szCs w:val="19"/>
    </w:rPr>
  </w:style>
  <w:style w:type="paragraph" w:customStyle="1" w:styleId="Citation">
    <w:name w:val="Citation"/>
    <w:basedOn w:val="Normal"/>
    <w:qFormat/>
    <w:pPr>
      <w:keepNext w:val="0"/>
      <w:widowControl/>
      <w:spacing w:before="0" w:after="60" w:line="276" w:lineRule="auto"/>
      <w:ind w:left="454" w:hanging="454"/>
    </w:pPr>
    <w:rPr>
      <w:rFonts w:ascii="Roboto" w:hAnsi="Roboto" w:eastAsia="Roboto" w:cs="Mukta"/>
      <w:b w:val="0"/>
      <w:i w:val="0"/>
      <w:caps w:val="0"/>
      <w:smallCaps w:val="0"/>
      <w:color w:val="1E1E1E"/>
      <w:sz w:val="18"/>
      <w:szCs w:val="18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0" w:line="276" w:lineRule="auto"/>
      <w:ind w:left="283" w:hanging="227"/>
    </w:pPr>
    <w:rPr>
      <w:rFonts w:ascii="Roboto" w:hAnsi="Roboto" w:eastAsia="Roboto" w:cs="Mukta"/>
      <w:b w:val="0"/>
      <w:i w:val="0"/>
      <w:caps w:val="0"/>
      <w:smallCaps w:val="0"/>
      <w:color w:val="1E1E1E"/>
      <w:sz w:val="19"/>
      <w:szCs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Centred Masthead · Boxed Headings — Sociologist — CV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