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22392E"/>
  <w:body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11906"/>
      </w:tblGrid>
      <w:tr>
        <w:trPr>
          <w:trHeight w:val="16804" w:hRule="atLeast"/>
        </w:trPr>
        <w:tc>
          <w:tcPr>
            <w:tcW w:type="dxa" w:w="11906"/>
            <w:shd w:val="clear" w:color="auto" w:fill="22392E"/>
            <w:tcMar>
              <w:top w:w="1020" w:type="dxa"/>
              <w:left w:w="1020" w:type="dxa"/>
              <w:bottom w:w="680" w:type="dxa"/>
              <w:right w:w="1020" w:type="dxa"/>
            </w:tcMar>
          </w:tcPr>
          <w:p>
            <w:pPr>
              <w:pStyle w:val="Name"/>
              <w:jc w:val="center"/>
            </w:pPr>
            <w:r>
              <w:t>Tanvi Deshpande</w:t>
            </w:r>
          </w:p>
          <w:p>
            <w:pPr>
              <w:pStyle w:val="Role"/>
              <w:jc w:val="center"/>
            </w:pPr>
            <w:r>
              <w:t>UX Researcher</w:t>
            </w:r>
          </w:p>
          <w:p>
            <w:pPr>
              <w:pStyle w:val="Contact"/>
            </w:pPr>
            <w:r>
              <w:t>+91 99000 40506</w:t>
            </w:r>
            <w:r>
              <w:rPr>
                <w:color w:val="F6E58D"/>
              </w:rPr>
              <w:t xml:space="preserve">  ✱  </w:t>
            </w:r>
            <w:r>
              <w:t>tanvi.deshpande@email.com</w:t>
            </w:r>
            <w:r>
              <w:rPr>
                <w:color w:val="F6E58D"/>
              </w:rPr>
              <w:t xml:space="preserve">  ✱  </w:t>
            </w:r>
            <w:r>
              <w:t>Bengaluru, India</w:t>
            </w:r>
            <w:r>
              <w:rPr>
                <w:color w:val="F6E58D"/>
              </w:rPr>
              <w:t xml:space="preserve">  ✱  </w:t>
            </w:r>
            <w:r>
              <w:t>linkedin.com/in/tanvideshpande</w:t>
            </w:r>
            <w:r>
              <w:rPr>
                <w:color w:val="F6E58D"/>
              </w:rPr>
              <w:t xml:space="preserve">  ✱  </w:t>
            </w:r>
            <w:r>
              <w:t>tanvi.research</w:t>
            </w:r>
          </w:p>
          <w:p>
            <w:pPr>
              <w:pStyle w:val="SectionHeading"/>
              <w:pBdr>
                <w:bottom w:val="dashed" w:sz="6" w:space="3" w:color="8FB3A0"/>
              </w:pBdr>
            </w:pPr>
            <w:r>
              <w:t>Profile</w:t>
            </w:r>
          </w:p>
          <w:p>
            <w:pPr>
              <w:pStyle w:val="Summary"/>
            </w:pPr>
            <w:r>
              <w:t>Mixed-methods UX researcher with 5 years in health and education products. I find the questions worth asking, talk to the people who use the product and turn findings into decisions teams act on.</w:t>
            </w:r>
          </w:p>
          <w:p>
            <w:pPr>
              <w:pStyle w:val="SectionHeading"/>
              <w:pBdr>
                <w:bottom w:val="dashed" w:sz="6" w:space="3" w:color="8FB3A0"/>
              </w:pBdr>
            </w:pPr>
            <w:r>
              <w:t>Experience</w:t>
            </w:r>
          </w:p>
          <w:p>
            <w:pPr>
              <w:pStyle w:val="EntryTitle"/>
              <w:tabs>
                <w:tab w:pos="9865" w:val="right"/>
              </w:tabs>
            </w:pPr>
            <w:r>
              <w:t>UX Researcher</w:t>
            </w:r>
            <w:r>
              <w:tab/>
            </w:r>
            <w:r>
              <w:rPr>
                <w:rFonts w:ascii="Patrick Hand" w:hAnsi="Patrick Hand" w:eastAsia="Patrick Hand" w:cs="Patrick Hand"/>
                <w:b w:val="0"/>
                <w:i w:val="0"/>
                <w:color w:val="B9CCBF"/>
                <w:sz w:val="18"/>
                <w:szCs w:val="18"/>
              </w:rPr>
              <w:t>2022 — Present</w:t>
            </w:r>
          </w:p>
          <w:p>
            <w:pPr>
              <w:pStyle w:val="EntryMeta"/>
            </w:pPr>
            <w:r>
              <w:t>Brightpath EdTech, Bengaluru</w:t>
            </w:r>
          </w:p>
          <w:p>
            <w:pPr>
              <w:pStyle w:val="ResumeBullet"/>
            </w:pPr>
            <w:r>
              <w:t>Lead research for a learning app used by 3 million students in tier-2 and tier-3 cities.</w:t>
            </w:r>
          </w:p>
          <w:p>
            <w:pPr>
              <w:pStyle w:val="ResumeBullet"/>
            </w:pPr>
            <w:r>
              <w:t>Ran a diary study that reshaped the product roadmap for two quarters.</w:t>
            </w:r>
          </w:p>
          <w:p>
            <w:pPr>
              <w:pStyle w:val="ResumeBullet"/>
            </w:pPr>
            <w:r>
              <w:t>Built a research repository that cut repeat studies by a third.</w:t>
            </w:r>
          </w:p>
          <w:p>
            <w:pPr>
              <w:pStyle w:val="EntryTitle"/>
              <w:tabs>
                <w:tab w:pos="9865" w:val="right"/>
              </w:tabs>
            </w:pPr>
            <w:r>
              <w:t>Associate UX Researcher</w:t>
            </w:r>
            <w:r>
              <w:tab/>
            </w:r>
            <w:r>
              <w:rPr>
                <w:rFonts w:ascii="Patrick Hand" w:hAnsi="Patrick Hand" w:eastAsia="Patrick Hand" w:cs="Patrick Hand"/>
                <w:b w:val="0"/>
                <w:i w:val="0"/>
                <w:color w:val="B9CCBF"/>
                <w:sz w:val="18"/>
                <w:szCs w:val="18"/>
              </w:rPr>
              <w:t>2019 — 2022</w:t>
            </w:r>
          </w:p>
          <w:p>
            <w:pPr>
              <w:pStyle w:val="EntryMeta"/>
            </w:pPr>
            <w:r>
              <w:t>Riverstone Health Digital, Bengaluru</w:t>
            </w:r>
          </w:p>
          <w:p>
            <w:pPr>
              <w:pStyle w:val="ResumeBullet"/>
            </w:pPr>
            <w:r>
              <w:t>Ran field studies in clinics across four states.</w:t>
            </w:r>
          </w:p>
          <w:p>
            <w:pPr>
              <w:pStyle w:val="ResumeBullet"/>
            </w:pPr>
            <w:r>
              <w:t>Designed surveys reaching 12,000 patients in five languages.</w:t>
            </w:r>
          </w:p>
          <w:p>
            <w:pPr>
              <w:pStyle w:val="SectionHeading"/>
              <w:pBdr>
                <w:bottom w:val="dashed" w:sz="6" w:space="3" w:color="8FB3A0"/>
              </w:pBdr>
            </w:pPr>
            <w:r>
              <w:t>Education</w:t>
            </w:r>
          </w:p>
          <w:p>
            <w:pPr>
              <w:pStyle w:val="EntryTitle"/>
              <w:tabs>
                <w:tab w:pos="9865" w:val="right"/>
              </w:tabs>
            </w:pPr>
            <w:r>
              <w:t>M.Des, Interaction Design</w:t>
            </w:r>
            <w:r>
              <w:tab/>
            </w:r>
            <w:r>
              <w:rPr>
                <w:rFonts w:ascii="Patrick Hand" w:hAnsi="Patrick Hand" w:eastAsia="Patrick Hand" w:cs="Patrick Hand"/>
                <w:b w:val="0"/>
                <w:i w:val="0"/>
                <w:color w:val="B9CCBF"/>
                <w:sz w:val="18"/>
                <w:szCs w:val="18"/>
              </w:rPr>
              <w:t>2017 — 2019</w:t>
            </w:r>
          </w:p>
          <w:p>
            <w:pPr>
              <w:pStyle w:val="EntryMeta"/>
            </w:pPr>
            <w:r>
              <w:t>Konkan School of Design</w:t>
            </w:r>
          </w:p>
          <w:p>
            <w:pPr>
              <w:pStyle w:val="EntryTitle"/>
              <w:tabs>
                <w:tab w:pos="9865" w:val="right"/>
              </w:tabs>
            </w:pPr>
            <w:r>
              <w:t>B.A., Sociology</w:t>
            </w:r>
            <w:r>
              <w:tab/>
            </w:r>
            <w:r>
              <w:rPr>
                <w:rFonts w:ascii="Patrick Hand" w:hAnsi="Patrick Hand" w:eastAsia="Patrick Hand" w:cs="Patrick Hand"/>
                <w:b w:val="0"/>
                <w:i w:val="0"/>
                <w:color w:val="B9CCBF"/>
                <w:sz w:val="18"/>
                <w:szCs w:val="18"/>
              </w:rPr>
              <w:t>2014 — 2017</w:t>
            </w:r>
          </w:p>
          <w:p>
            <w:pPr>
              <w:pStyle w:val="EntryMeta"/>
            </w:pPr>
            <w:r>
              <w:t>St. Aldwin's College</w:t>
            </w:r>
          </w:p>
          <w:p>
            <w:pPr>
              <w:pStyle w:val="SectionHeading"/>
              <w:pBdr>
                <w:bottom w:val="dashed" w:sz="6" w:space="3" w:color="8FB3A0"/>
              </w:pBdr>
            </w:pPr>
            <w:r>
              <w:t>Skills</w:t>
            </w:r>
          </w:p>
          <w:p>
            <w:pPr>
              <w:pStyle w:val="BodyText"/>
            </w:pPr>
            <w:r>
              <w:t>Usability testing</w:t>
            </w:r>
            <w:r>
              <w:rPr>
                <w:color w:val="F6E58D"/>
              </w:rPr>
              <w:t xml:space="preserve">  ✱  </w:t>
            </w:r>
            <w:r>
              <w:t>Field research</w:t>
            </w:r>
            <w:r>
              <w:rPr>
                <w:color w:val="F6E58D"/>
              </w:rPr>
              <w:t xml:space="preserve">  ✱  </w:t>
            </w:r>
            <w:r>
              <w:t>Survey design</w:t>
            </w:r>
            <w:r>
              <w:rPr>
                <w:color w:val="F6E58D"/>
              </w:rPr>
              <w:t xml:space="preserve">  ✱  </w:t>
            </w:r>
            <w:r>
              <w:t>Journey mapping</w:t>
            </w:r>
            <w:r>
              <w:rPr>
                <w:color w:val="F6E58D"/>
              </w:rPr>
              <w:t xml:space="preserve">  ✱  </w:t>
            </w:r>
            <w:r>
              <w:t>Synthesis</w:t>
            </w:r>
            <w:r>
              <w:rPr>
                <w:color w:val="F6E58D"/>
              </w:rPr>
              <w:t xml:space="preserve">  ✱  </w:t>
            </w:r>
            <w:r>
              <w:t>Research ops</w:t>
            </w:r>
          </w:p>
          <w:p>
            <w:pPr>
              <w:pStyle w:val="SectionHeading"/>
              <w:pBdr>
                <w:bottom w:val="dashed" w:sz="6" w:space="3" w:color="8FB3A0"/>
              </w:pBdr>
            </w:pPr>
            <w:r>
              <w:t>Tools</w:t>
            </w:r>
          </w:p>
          <w:p>
            <w:pPr>
              <w:pStyle w:val="BodyText"/>
            </w:pPr>
            <w:r>
              <w:t>Dovetail</w:t>
            </w:r>
            <w:r>
              <w:rPr>
                <w:color w:val="F6E58D"/>
              </w:rPr>
              <w:t xml:space="preserve">  ✱  </w:t>
            </w:r>
            <w:r>
              <w:t>Figma</w:t>
            </w:r>
            <w:r>
              <w:rPr>
                <w:color w:val="F6E58D"/>
              </w:rPr>
              <w:t xml:space="preserve">  ✱  </w:t>
            </w:r>
            <w:r>
              <w:t>Maze</w:t>
            </w:r>
            <w:r>
              <w:rPr>
                <w:color w:val="F6E58D"/>
              </w:rPr>
              <w:t xml:space="preserve">  ✱  </w:t>
            </w:r>
            <w:r>
              <w:t>Google Forms</w:t>
            </w:r>
            <w:r>
              <w:rPr>
                <w:color w:val="F6E58D"/>
              </w:rPr>
              <w:t xml:space="preserve">  ✱  </w:t>
            </w:r>
            <w:r>
              <w:t>Miro</w:t>
            </w:r>
          </w:p>
          <w:p>
            <w:pPr>
              <w:pStyle w:val="SectionHeading"/>
              <w:pBdr>
                <w:bottom w:val="dashed" w:sz="6" w:space="3" w:color="8FB3A0"/>
              </w:pBdr>
            </w:pPr>
            <w:r>
              <w:t>Languages</w:t>
            </w:r>
          </w:p>
          <w:p>
            <w:pPr>
              <w:pStyle w:val="BodyText"/>
            </w:pPr>
            <w:r>
              <w:t>English</w:t>
            </w:r>
            <w:r>
              <w:rPr>
                <w:color w:val="F6E58D"/>
              </w:rPr>
              <w:t xml:space="preserve">  ✱  </w:t>
            </w:r>
            <w:r>
              <w:t>Marathi</w:t>
            </w:r>
            <w:r>
              <w:rPr>
                <w:color w:val="F6E58D"/>
              </w:rPr>
              <w:t xml:space="preserve">  ✱  </w:t>
            </w:r>
            <w:r>
              <w:t>Hindi</w:t>
            </w:r>
            <w:r>
              <w:rPr>
                <w:color w:val="F6E58D"/>
              </w:rPr>
              <w:t xml:space="preserve">  ✱  </w:t>
            </w:r>
            <w:r>
              <w:t>Kannada</w:t>
            </w:r>
          </w:p>
        </w:tc>
      </w:tr>
    </w:tbl>
    <w:p>
      <w:pPr>
        <w:spacing w:lineRule="exact" w:line="20" w:before="0" w:after="0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✓"/>
      <w:lvlJc w:val="left"/>
      <w:pPr>
        <w:ind w:left="295" w:hanging="272"/>
      </w:pPr>
      <w:rPr>
        <w:rFonts w:ascii="Segoe UI Symbol" w:hAnsi="Segoe UI Symbol" w:cs="Segoe UI Symbol" w:hint="default"/>
        <w:color w:val="F6E58D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✓"/>
      <w:lvlJc w:val="left"/>
      <w:pPr>
        <w:ind w:left="295" w:hanging="272"/>
      </w:pPr>
      <w:rPr>
        <w:rFonts w:ascii="Segoe UI Symbol" w:hAnsi="Segoe UI Symbol" w:cs="Segoe UI Symbol" w:hint="default"/>
        <w:color w:val="F6E58D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atrick Hand" w:hAnsi="Patrick Hand" w:eastAsia="Patrick Hand" w:cs="Patrick Hand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3" w:lineRule="auto"/>
    </w:pPr>
    <w:rPr>
      <w:rFonts w:ascii="Patrick Hand" w:hAnsi="Patrick Hand" w:eastAsia="Patrick Hand" w:cs="Patrick Hand"/>
      <w:color w:val="EEF3EF"/>
      <w:sz w:val="22"/>
      <w:szCs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73" w:lineRule="auto"/>
    </w:pPr>
    <w:rPr>
      <w:rFonts w:ascii="Patrick Hand" w:hAnsi="Patrick Hand" w:eastAsia="Patrick Hand" w:cs="Patrick Hand"/>
      <w:b w:val="0"/>
      <w:i w:val="0"/>
      <w:caps w:val="0"/>
      <w:smallCaps w:val="0"/>
      <w:color w:val="EEF3EF"/>
      <w:sz w:val="22"/>
      <w:szCs w:val="23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2" w:line="240" w:lineRule="auto"/>
      <w:jc w:val="center"/>
    </w:pPr>
    <w:rPr>
      <w:rFonts w:ascii="Gochi Hand" w:hAnsi="Gochi Hand" w:eastAsia="Gochi Hand" w:cs="Gochi Hand"/>
      <w:b w:val="0"/>
      <w:i w:val="0"/>
      <w:caps w:val="0"/>
      <w:smallCaps w:val="0"/>
      <w:color w:val="FFFFFF"/>
      <w:sz w:val="88"/>
      <w:szCs w:val="88"/>
    </w:rPr>
  </w:style>
  <w:style w:type="paragraph" w:customStyle="1" w:styleId="Role">
    <w:name w:val="Role"/>
    <w:basedOn w:val="Normal"/>
    <w:qFormat/>
    <w:pPr>
      <w:keepNext w:val="0"/>
      <w:widowControl/>
      <w:spacing w:before="0" w:after="84"/>
      <w:jc w:val="center"/>
    </w:pPr>
    <w:rPr>
      <w:rFonts w:ascii="Patrick Hand" w:hAnsi="Patrick Hand" w:eastAsia="Patrick Hand" w:cs="Patrick Hand"/>
      <w:b w:val="0"/>
      <w:i w:val="0"/>
      <w:caps w:val="0"/>
      <w:smallCaps w:val="0"/>
      <w:color w:val="F6E58D"/>
      <w:sz w:val="28"/>
      <w:szCs w:val="28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  <w:jc w:val="center"/>
    </w:pPr>
    <w:rPr>
      <w:rFonts w:ascii="Patrick Hand" w:hAnsi="Patrick Hand" w:eastAsia="Patrick Hand" w:cs="Patrick Hand"/>
      <w:b w:val="0"/>
      <w:i w:val="0"/>
      <w:caps w:val="0"/>
      <w:smallCaps w:val="0"/>
      <w:color w:val="D6E2DA"/>
      <w:sz w:val="20"/>
      <w:szCs w:val="20"/>
    </w:rPr>
  </w:style>
  <w:style w:type="paragraph" w:customStyle="1" w:styleId="SectionHeading">
    <w:name w:val="Section Heading"/>
    <w:basedOn w:val="Normal"/>
    <w:qFormat/>
    <w:pPr>
      <w:keepNext/>
      <w:widowControl/>
      <w:spacing w:before="208" w:after="104"/>
    </w:pPr>
    <w:rPr>
      <w:rFonts w:ascii="Gochi Hand" w:hAnsi="Gochi Hand" w:eastAsia="Gochi Hand" w:cs="Gochi Hand"/>
      <w:b/>
      <w:bCs/>
      <w:i w:val="0"/>
      <w:caps w:val="0"/>
      <w:smallCaps w:val="0"/>
      <w:color w:val="F6E58D"/>
      <w:sz w:val="41"/>
      <w:szCs w:val="41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73" w:lineRule="auto"/>
    </w:pPr>
    <w:rPr>
      <w:rFonts w:ascii="Patrick Hand" w:hAnsi="Patrick Hand" w:eastAsia="Patrick Hand" w:cs="Patrick Hand"/>
      <w:b w:val="0"/>
      <w:i w:val="0"/>
      <w:caps w:val="0"/>
      <w:smallCaps w:val="0"/>
      <w:color w:val="EEF3EF"/>
      <w:sz w:val="22"/>
      <w:szCs w:val="23"/>
    </w:rPr>
  </w:style>
  <w:style w:type="paragraph" w:customStyle="1" w:styleId="EntryTitle">
    <w:name w:val="Entry Title"/>
    <w:basedOn w:val="Normal"/>
    <w:qFormat/>
    <w:pPr>
      <w:keepNext/>
      <w:widowControl/>
      <w:spacing w:before="104" w:after="10"/>
    </w:pPr>
    <w:rPr>
      <w:rFonts w:ascii="Gochi Hand" w:hAnsi="Gochi Hand" w:eastAsia="Gochi Hand" w:cs="Gochi Hand"/>
      <w:b w:val="0"/>
      <w:i w:val="0"/>
      <w:caps w:val="0"/>
      <w:smallCaps w:val="0"/>
      <w:color w:val="FFFFFF"/>
      <w:sz w:val="26"/>
      <w:szCs w:val="26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Patrick Hand" w:hAnsi="Patrick Hand" w:eastAsia="Patrick Hand" w:cs="Patrick Hand"/>
      <w:b w:val="0"/>
      <w:i w:val="0"/>
      <w:caps w:val="0"/>
      <w:smallCaps w:val="0"/>
      <w:color w:val="9ED2B6"/>
      <w:sz w:val="18"/>
      <w:szCs w:val="18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6" w:line="273" w:lineRule="auto"/>
      <w:ind w:left="295" w:hanging="272"/>
    </w:pPr>
    <w:rPr>
      <w:rFonts w:ascii="Patrick Hand" w:hAnsi="Patrick Hand" w:eastAsia="Patrick Hand" w:cs="Patrick Hand"/>
      <w:b w:val="0"/>
      <w:i w:val="0"/>
      <w:caps w:val="0"/>
      <w:smallCaps w:val="0"/>
      <w:color w:val="EEF3EF"/>
      <w:sz w:val="22"/>
      <w:szCs w:val="23"/>
    </w:rPr>
  </w:style>
  <w:style w:type="paragraph" w:customStyle="1" w:styleId="SideHeading">
    <w:name w:val="Side Heading"/>
    <w:basedOn w:val="Normal"/>
    <w:qFormat/>
    <w:pPr>
      <w:keepNext/>
      <w:widowControl/>
      <w:spacing w:before="208" w:after="104"/>
    </w:pPr>
    <w:rPr>
      <w:rFonts w:ascii="Gochi Hand" w:hAnsi="Gochi Hand" w:eastAsia="Gochi Hand" w:cs="Gochi Hand"/>
      <w:b/>
      <w:bCs/>
      <w:i w:val="0"/>
      <w:caps w:val="0"/>
      <w:smallCaps w:val="0"/>
      <w:color w:val="F6E58D"/>
      <w:sz w:val="41"/>
      <w:szCs w:val="41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273" w:lineRule="auto"/>
    </w:pPr>
    <w:rPr>
      <w:rFonts w:ascii="Patrick Hand" w:hAnsi="Patrick Hand" w:eastAsia="Patrick Hand" w:cs="Patrick Hand"/>
      <w:b w:val="0"/>
      <w:i w:val="0"/>
      <w:caps w:val="0"/>
      <w:smallCaps w:val="0"/>
      <w:color w:val="EEF3EF"/>
      <w:sz w:val="22"/>
      <w:szCs w:val="23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Patrick Hand" w:hAnsi="Patrick Hand" w:eastAsia="Patrick Hand" w:cs="Patrick Hand"/>
      <w:b w:val="0"/>
      <w:i w:val="0"/>
      <w:caps/>
      <w:smallCaps w:val="0"/>
      <w:color w:val="B9CCBF"/>
      <w:spacing w:val="20"/>
      <w:sz w:val="21"/>
      <w:szCs w:val="22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6" w:line="273" w:lineRule="auto"/>
      <w:ind w:left="295" w:hanging="272"/>
    </w:pPr>
    <w:rPr>
      <w:rFonts w:ascii="Patrick Hand" w:hAnsi="Patrick Hand" w:eastAsia="Patrick Hand" w:cs="Patrick Hand"/>
      <w:b w:val="0"/>
      <w:i w:val="0"/>
      <w:caps w:val="0"/>
      <w:smallCaps w:val="0"/>
      <w:color w:val="EEF3EF"/>
      <w:sz w:val="22"/>
      <w:szCs w:val="23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Chalkboard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