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Rohan Kulkarni</w:t>
      </w:r>
    </w:p>
    <w:p>
      <w:pPr>
        <w:pStyle w:val="Role"/>
      </w:pPr>
      <w:r>
        <w:t>Software Engineer</w:t>
      </w:r>
    </w:p>
    <w:p>
      <w:pPr>
        <w:pStyle w:val="Contact"/>
      </w:pPr>
      <w:r>
        <w:t>+91 99887 66554</w:t>
      </w:r>
      <w:r>
        <w:rPr>
          <w:color w:val="BBBBBB"/>
        </w:rPr>
        <w:t xml:space="preserve">  /  </w:t>
      </w:r>
      <w:r>
        <w:t>rohan.kulkarni@email.com</w:t>
      </w:r>
      <w:r>
        <w:rPr>
          <w:color w:val="BBBBBB"/>
        </w:rPr>
        <w:t xml:space="preserve">  /  </w:t>
      </w:r>
      <w:r>
        <w:t>Hyderabad, India</w:t>
      </w:r>
      <w:r>
        <w:rPr>
          <w:color w:val="BBBBBB"/>
        </w:rPr>
        <w:t xml:space="preserve">  /  </w:t>
      </w:r>
      <w:r>
        <w:t>github.com/rohankulkarni</w:t>
      </w:r>
      <w:r>
        <w:rPr>
          <w:color w:val="BBBBBB"/>
        </w:rPr>
        <w:t xml:space="preserve">  /  </w:t>
      </w:r>
      <w:r>
        <w:t>rohan.codes</w:t>
      </w:r>
    </w:p>
    <w:tbl>
      <w:tblPr>
        <w:tblW w:w="9865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1928"/>
        <w:gridCol w:w="7937"/>
      </w:tblGrid>
      <w:tr>
        <w:tc>
          <w:tcPr>
            <w:tcW w:type="dxa" w:w="1928"/>
            <w:tcMar>
              <w:top w:w="0" w:type="dxa"/>
              <w:left w:w="0" w:type="dxa"/>
              <w:bottom w:w="0" w:type="dxa"/>
              <w:right w:w="227" w:type="dxa"/>
            </w:tcMar>
          </w:tcPr>
          <w:p>
            <w:pPr>
              <w:pStyle w:val="SectionHeading"/>
            </w:pPr>
            <w:r>
              <w:rPr>
                <w:color w:val="111111"/>
              </w:rPr>
              <w:t xml:space="preserve">// </w:t>
            </w:r>
            <w:r>
              <w:t>Profile</w:t>
            </w:r>
          </w:p>
        </w:tc>
        <w:tc>
          <w:tcPr>
            <w:tcW w:type="dxa" w:w="7937"/>
          </w:tcPr>
          <w:p>
            <w:pPr>
              <w:pStyle w:val="Summary"/>
              <w:spacing w:before="284"/>
            </w:pPr>
            <w:r>
              <w:t>Backend engineer with 5 years building reliable, well-tested services in Go and Python. I care about clean APIs, calm on-call rotations and writing docs that the next engineer thanks me for.</w:t>
            </w:r>
          </w:p>
        </w:tc>
      </w:tr>
      <w:tr>
        <w:tc>
          <w:tcPr>
            <w:tcW w:type="dxa" w:w="1928"/>
            <w:tcMar>
              <w:top w:w="0" w:type="dxa"/>
              <w:left w:w="0" w:type="dxa"/>
              <w:bottom w:w="0" w:type="dxa"/>
              <w:right w:w="227" w:type="dxa"/>
            </w:tcMar>
          </w:tcPr>
          <w:p>
            <w:pPr>
              <w:pStyle w:val="SectionHeading"/>
            </w:pPr>
            <w:r>
              <w:rPr>
                <w:color w:val="111111"/>
              </w:rPr>
              <w:t xml:space="preserve">// </w:t>
            </w:r>
            <w:r>
              <w:t>Experience</w:t>
            </w:r>
          </w:p>
        </w:tc>
        <w:tc>
          <w:tcPr>
            <w:tcW w:type="dxa" w:w="7937"/>
          </w:tcPr>
          <w:p>
            <w:pPr>
              <w:pStyle w:val="EntryTitle"/>
              <w:tabs>
                <w:tab w:pos="7937" w:val="right"/>
              </w:tabs>
              <w:spacing w:before="284"/>
            </w:pPr>
            <w:r>
              <w:t>Software Engineer II</w:t>
            </w:r>
            <w:r>
              <w:tab/>
            </w:r>
            <w:r>
              <w:rPr>
                <w:rFonts w:ascii="Inter" w:hAnsi="Inter" w:eastAsia="Inter" w:cs="Inter"/>
                <w:b w:val="0"/>
                <w:i w:val="0"/>
                <w:color w:val="7A7A7A"/>
                <w:sz w:val="21"/>
                <w:szCs w:val="21"/>
              </w:rPr>
              <w:t>2022 — Present</w:t>
            </w:r>
          </w:p>
          <w:p>
            <w:pPr>
              <w:pStyle w:val="EntryMeta"/>
            </w:pPr>
            <w:r>
              <w:t>Orbitra Software, Hyderabad</w:t>
            </w:r>
          </w:p>
          <w:p>
            <w:pPr>
              <w:pStyle w:val="ResumeBullet"/>
            </w:pPr>
            <w:r>
              <w:t>Own the payments reconciliation service processing 2 million events a day.</w:t>
            </w:r>
          </w:p>
          <w:p>
            <w:pPr>
              <w:pStyle w:val="ResumeBullet"/>
            </w:pPr>
            <w:r>
              <w:t>Reduced p95 API latency from 480 ms to 120 ms by redesigning the caching layer.</w:t>
            </w:r>
          </w:p>
          <w:p>
            <w:pPr>
              <w:pStyle w:val="ResumeBullet"/>
            </w:pPr>
            <w:r>
              <w:t>Led migration of 14 services to Kubernetes with zero customer-facing downtime.</w:t>
            </w:r>
          </w:p>
          <w:p>
            <w:pPr>
              <w:pStyle w:val="ResumeBullet"/>
            </w:pPr>
            <w:r>
              <w:t>Introduced contract testing, cutting integration bugs by roughly half.</w:t>
            </w:r>
          </w:p>
          <w:p>
            <w:pPr>
              <w:pStyle w:val="EntryTitle"/>
              <w:tabs>
                <w:tab w:pos="7937" w:val="right"/>
              </w:tabs>
            </w:pPr>
            <w:r>
              <w:t>Software Engineer</w:t>
            </w:r>
            <w:r>
              <w:tab/>
            </w:r>
            <w:r>
              <w:rPr>
                <w:rFonts w:ascii="Inter" w:hAnsi="Inter" w:eastAsia="Inter" w:cs="Inter"/>
                <w:b w:val="0"/>
                <w:i w:val="0"/>
                <w:color w:val="7A7A7A"/>
                <w:sz w:val="21"/>
                <w:szCs w:val="21"/>
              </w:rPr>
              <w:t>2020 — 2022</w:t>
            </w:r>
          </w:p>
          <w:p>
            <w:pPr>
              <w:pStyle w:val="EntryMeta"/>
            </w:pPr>
            <w:r>
              <w:t>Nimbus Cloudworks, Bengaluru</w:t>
            </w:r>
          </w:p>
          <w:p>
            <w:pPr>
              <w:pStyle w:val="ResumeBullet"/>
            </w:pPr>
            <w:r>
              <w:t>Built internal tooling for deployment approvals used by 300 engineers.</w:t>
            </w:r>
          </w:p>
          <w:p>
            <w:pPr>
              <w:pStyle w:val="ResumeBullet"/>
            </w:pPr>
            <w:r>
              <w:t>Wrote the incident runbook template now standard across the org.</w:t>
            </w:r>
          </w:p>
          <w:p>
            <w:pPr>
              <w:pStyle w:val="EntryTitle"/>
              <w:tabs>
                <w:tab w:pos="7937" w:val="right"/>
              </w:tabs>
            </w:pPr>
            <w:r>
              <w:t>Engineering Intern</w:t>
            </w:r>
            <w:r>
              <w:tab/>
            </w:r>
            <w:r>
              <w:rPr>
                <w:rFonts w:ascii="Inter" w:hAnsi="Inter" w:eastAsia="Inter" w:cs="Inter"/>
                <w:b w:val="0"/>
                <w:i w:val="0"/>
                <w:color w:val="7A7A7A"/>
                <w:sz w:val="21"/>
                <w:szCs w:val="21"/>
              </w:rPr>
              <w:t>2019</w:t>
            </w:r>
          </w:p>
          <w:p>
            <w:pPr>
              <w:pStyle w:val="EntryMeta"/>
            </w:pPr>
            <w:r>
              <w:t>Tidewater Logistics, Chennai</w:t>
            </w:r>
          </w:p>
          <w:p>
            <w:pPr>
              <w:pStyle w:val="ResumeBullet"/>
            </w:pPr>
            <w:r>
              <w:t>Prototyped a route-optimisation service that saved 7% fuel in a pilot city.</w:t>
            </w:r>
          </w:p>
        </w:tc>
      </w:tr>
      <w:tr>
        <w:tc>
          <w:tcPr>
            <w:tcW w:type="dxa" w:w="1928"/>
            <w:tcMar>
              <w:top w:w="0" w:type="dxa"/>
              <w:left w:w="0" w:type="dxa"/>
              <w:bottom w:w="0" w:type="dxa"/>
              <w:right w:w="227" w:type="dxa"/>
            </w:tcMar>
          </w:tcPr>
          <w:p>
            <w:pPr>
              <w:pStyle w:val="SectionHeading"/>
            </w:pPr>
            <w:r>
              <w:rPr>
                <w:color w:val="111111"/>
              </w:rPr>
              <w:t xml:space="preserve">// </w:t>
            </w:r>
            <w:r>
              <w:t>Education</w:t>
            </w:r>
          </w:p>
        </w:tc>
        <w:tc>
          <w:tcPr>
            <w:tcW w:type="dxa" w:w="7937"/>
          </w:tcPr>
          <w:p>
            <w:pPr>
              <w:pStyle w:val="EntryTitle"/>
              <w:tabs>
                <w:tab w:pos="7937" w:val="right"/>
              </w:tabs>
              <w:spacing w:before="284"/>
            </w:pPr>
            <w:r>
              <w:t>B.E., Information Technology</w:t>
            </w:r>
            <w:r>
              <w:tab/>
            </w:r>
            <w:r>
              <w:rPr>
                <w:rFonts w:ascii="Inter" w:hAnsi="Inter" w:eastAsia="Inter" w:cs="Inter"/>
                <w:b w:val="0"/>
                <w:i w:val="0"/>
                <w:color w:val="7A7A7A"/>
                <w:sz w:val="21"/>
                <w:szCs w:val="21"/>
              </w:rPr>
              <w:t>2016 — 2020</w:t>
            </w:r>
          </w:p>
          <w:p>
            <w:pPr>
              <w:pStyle w:val="EntryMeta"/>
            </w:pPr>
            <w:r>
              <w:t>Deccan Valley University</w:t>
            </w:r>
            <w:r>
              <w:t xml:space="preserve">  /  CGPA 8.9 / 10</w:t>
            </w:r>
          </w:p>
        </w:tc>
      </w:tr>
      <w:tr>
        <w:tc>
          <w:tcPr>
            <w:tcW w:type="dxa" w:w="1928"/>
            <w:tcMar>
              <w:top w:w="0" w:type="dxa"/>
              <w:left w:w="0" w:type="dxa"/>
              <w:bottom w:w="0" w:type="dxa"/>
              <w:right w:w="227" w:type="dxa"/>
            </w:tcMar>
          </w:tcPr>
          <w:p>
            <w:pPr>
              <w:pStyle w:val="SectionHeading"/>
            </w:pPr>
            <w:r>
              <w:rPr>
                <w:color w:val="111111"/>
              </w:rPr>
              <w:t xml:space="preserve">// </w:t>
            </w:r>
            <w:r>
              <w:t>Skills</w:t>
            </w:r>
          </w:p>
        </w:tc>
        <w:tc>
          <w:tcPr>
            <w:tcW w:type="dxa" w:w="7937"/>
          </w:tcPr>
          <w:p>
            <w:pPr>
              <w:pStyle w:val="BodyText"/>
              <w:spacing w:before="284"/>
            </w:pPr>
            <w:r>
              <w:t>Go</w:t>
            </w:r>
            <w:r>
              <w:rPr>
                <w:color w:val="111111"/>
              </w:rPr>
              <w:t xml:space="preserve">  /  </w:t>
            </w:r>
            <w:r>
              <w:t>Python</w:t>
            </w:r>
            <w:r>
              <w:rPr>
                <w:color w:val="111111"/>
              </w:rPr>
              <w:t xml:space="preserve">  /  </w:t>
            </w:r>
            <w:r>
              <w:t>PostgreSQL</w:t>
            </w:r>
            <w:r>
              <w:rPr>
                <w:color w:val="111111"/>
              </w:rPr>
              <w:t xml:space="preserve">  /  </w:t>
            </w:r>
            <w:r>
              <w:t>Distributed systems</w:t>
            </w:r>
            <w:r>
              <w:rPr>
                <w:color w:val="111111"/>
              </w:rPr>
              <w:t xml:space="preserve">  /  </w:t>
            </w:r>
            <w:r>
              <w:t>System design</w:t>
            </w:r>
            <w:r>
              <w:rPr>
                <w:color w:val="111111"/>
              </w:rPr>
              <w:t xml:space="preserve">  /  </w:t>
            </w:r>
            <w:r>
              <w:t>Observability</w:t>
            </w:r>
          </w:p>
        </w:tc>
      </w:tr>
      <w:tr>
        <w:tc>
          <w:tcPr>
            <w:tcW w:type="dxa" w:w="1928"/>
            <w:tcMar>
              <w:top w:w="0" w:type="dxa"/>
              <w:left w:w="0" w:type="dxa"/>
              <w:bottom w:w="0" w:type="dxa"/>
              <w:right w:w="227" w:type="dxa"/>
            </w:tcMar>
          </w:tcPr>
          <w:p>
            <w:pPr>
              <w:pStyle w:val="SectionHeading"/>
            </w:pPr>
            <w:r>
              <w:rPr>
                <w:color w:val="111111"/>
              </w:rPr>
              <w:t xml:space="preserve">// </w:t>
            </w:r>
            <w:r>
              <w:t>Tools</w:t>
            </w:r>
          </w:p>
        </w:tc>
        <w:tc>
          <w:tcPr>
            <w:tcW w:type="dxa" w:w="7937"/>
          </w:tcPr>
          <w:p>
            <w:pPr>
              <w:pStyle w:val="BodyText"/>
              <w:spacing w:before="284"/>
            </w:pPr>
            <w:r>
              <w:t>Kubernetes</w:t>
            </w:r>
            <w:r>
              <w:rPr>
                <w:color w:val="111111"/>
              </w:rPr>
              <w:t xml:space="preserve">  /  </w:t>
            </w:r>
            <w:r>
              <w:t>Docker</w:t>
            </w:r>
            <w:r>
              <w:rPr>
                <w:color w:val="111111"/>
              </w:rPr>
              <w:t xml:space="preserve">  /  </w:t>
            </w:r>
            <w:r>
              <w:t>Terraform</w:t>
            </w:r>
            <w:r>
              <w:rPr>
                <w:color w:val="111111"/>
              </w:rPr>
              <w:t xml:space="preserve">  /  </w:t>
            </w:r>
            <w:r>
              <w:t>Kafka</w:t>
            </w:r>
            <w:r>
              <w:rPr>
                <w:color w:val="111111"/>
              </w:rPr>
              <w:t xml:space="preserve">  /  </w:t>
            </w:r>
            <w:r>
              <w:t>Grafana</w:t>
            </w:r>
            <w:r>
              <w:rPr>
                <w:color w:val="111111"/>
              </w:rPr>
              <w:t xml:space="preserve">  /  </w:t>
            </w:r>
            <w:r>
              <w:t>AWS</w:t>
            </w:r>
          </w:p>
        </w:tc>
      </w:tr>
      <w:tr>
        <w:tc>
          <w:tcPr>
            <w:tcW w:type="dxa" w:w="1928"/>
            <w:tcMar>
              <w:top w:w="0" w:type="dxa"/>
              <w:left w:w="0" w:type="dxa"/>
              <w:bottom w:w="0" w:type="dxa"/>
              <w:right w:w="227" w:type="dxa"/>
            </w:tcMar>
          </w:tcPr>
          <w:p>
            <w:pPr>
              <w:pStyle w:val="SectionHeading"/>
            </w:pPr>
            <w:r>
              <w:rPr>
                <w:color w:val="111111"/>
              </w:rPr>
              <w:t xml:space="preserve">// </w:t>
            </w:r>
            <w:r>
              <w:t>Languages</w:t>
            </w:r>
          </w:p>
        </w:tc>
        <w:tc>
          <w:tcPr>
            <w:tcW w:type="dxa" w:w="7937"/>
          </w:tcPr>
          <w:p>
            <w:pPr>
              <w:pStyle w:val="BodyText"/>
              <w:spacing w:before="284"/>
            </w:pPr>
            <w:r>
              <w:t>English</w:t>
            </w:r>
            <w:r>
              <w:rPr>
                <w:color w:val="111111"/>
              </w:rPr>
              <w:t xml:space="preserve">  /  </w:t>
            </w:r>
            <w:r>
              <w:t>Marathi</w:t>
            </w:r>
            <w:r>
              <w:rPr>
                <w:color w:val="111111"/>
              </w:rPr>
              <w:t xml:space="preserve">  /  </w:t>
            </w:r>
            <w:r>
              <w:t>Hindi</w:t>
            </w:r>
            <w:r>
              <w:rPr>
                <w:color w:val="111111"/>
              </w:rPr>
              <w:t xml:space="preserve">  /  </w:t>
            </w:r>
            <w:r>
              <w:t>Telugu</w:t>
            </w:r>
          </w:p>
        </w:tc>
      </w:tr>
    </w:tbl>
    <w:sectPr w:rsidR="00FC693F" w:rsidRPr="0006063C" w:rsidSect="00034616">
      <w:pgSz w:w="11906" w:h="16838"/>
      <w:pgMar w:top="1134" w:right="1020" w:bottom="907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-"/>
      <w:lvlJc w:val="left"/>
      <w:pPr>
        <w:ind w:left="261" w:hanging="227"/>
      </w:pPr>
      <w:rPr>
        <w:rFonts w:ascii="IBM Plex Mono" w:hAnsi="IBM Plex Mono" w:cs="IBM Plex Mono" w:hint="default"/>
        <w:color w:val="111111"/>
      </w:rPr>
    </w:lvl>
  </w:abstractNum>
  <w:abstractNum w:abstractNumId="101">
    <w:multiLevelType w:val="singleLevel"/>
    <w:lvl w:ilvl="0">
      <w:start w:val="1"/>
      <w:numFmt w:val="bullet"/>
      <w:pStyle w:val="SideBullet"/>
      <w:lvlText w:val="-"/>
      <w:lvlJc w:val="left"/>
      <w:pPr>
        <w:ind w:left="261" w:hanging="227"/>
      </w:pPr>
      <w:rPr>
        <w:rFonts w:ascii="IBM Plex Mono" w:hAnsi="IBM Plex Mono" w:cs="IBM Plex Mono" w:hint="default"/>
        <w:color w:val="111111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Inter" w:hAnsi="Inter" w:eastAsia="Inter" w:cs="Inter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72" w:lineRule="auto"/>
    </w:pPr>
    <w:rPr>
      <w:rFonts w:ascii="Inter" w:hAnsi="Inter" w:eastAsia="Inter" w:cs="Inter"/>
      <w:color w:val="1F1F1F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72" w:lineRule="auto"/>
    </w:pPr>
    <w:rPr>
      <w:rFonts w:ascii="Inter" w:hAnsi="Inter" w:eastAsia="Inter" w:cs="Inter"/>
      <w:b w:val="0"/>
      <w:i w:val="0"/>
      <w:caps w:val="0"/>
      <w:smallCaps w:val="0"/>
      <w:color w:val="1F1F1F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58" w:line="240" w:lineRule="auto"/>
    </w:pPr>
    <w:rPr>
      <w:rFonts w:ascii="IBM Plex Mono" w:hAnsi="IBM Plex Mono" w:eastAsia="IBM Plex Mono" w:cs="IBM Plex Mono"/>
      <w:b/>
      <w:bCs/>
      <w:i w:val="0"/>
      <w:caps w:val="0"/>
      <w:smallCaps w:val="0"/>
      <w:color w:val="111111"/>
      <w:sz w:val="52"/>
      <w:szCs w:val="52"/>
    </w:rPr>
  </w:style>
  <w:style w:type="paragraph" w:customStyle="1" w:styleId="Role">
    <w:name w:val="Role"/>
    <w:basedOn w:val="Normal"/>
    <w:qFormat/>
    <w:pPr>
      <w:keepNext w:val="0"/>
      <w:widowControl/>
      <w:spacing w:before="0" w:after="172"/>
    </w:pPr>
    <w:rPr>
      <w:rFonts w:ascii="IBM Plex Mono" w:hAnsi="IBM Plex Mono" w:eastAsia="IBM Plex Mono" w:cs="IBM Plex Mono"/>
      <w:b w:val="0"/>
      <w:i w:val="0"/>
      <w:caps w:val="0"/>
      <w:smallCaps w:val="0"/>
      <w:color w:val="6B6B6B"/>
      <w:sz w:val="20"/>
      <w:szCs w:val="20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Inter" w:hAnsi="Inter" w:eastAsia="Inter" w:cs="Inter"/>
      <w:b w:val="0"/>
      <w:i w:val="0"/>
      <w:caps w:val="0"/>
      <w:smallCaps w:val="0"/>
      <w:color w:val="7A7A7A"/>
      <w:sz w:val="19"/>
      <w:szCs w:val="19"/>
    </w:rPr>
  </w:style>
  <w:style w:type="paragraph" w:customStyle="1" w:styleId="SectionHeading">
    <w:name w:val="Section Heading"/>
    <w:basedOn w:val="Normal"/>
    <w:qFormat/>
    <w:pPr>
      <w:keepNext/>
      <w:widowControl/>
      <w:spacing w:before="284" w:after="142"/>
    </w:pPr>
    <w:rPr>
      <w:rFonts w:ascii="IBM Plex Mono" w:hAnsi="IBM Plex Mono" w:eastAsia="IBM Plex Mono" w:cs="IBM Plex Mono"/>
      <w:b w:val="0"/>
      <w:i w:val="0"/>
      <w:caps w:val="0"/>
      <w:smallCaps w:val="0"/>
      <w:color w:val="111111"/>
      <w:sz w:val="20"/>
      <w:szCs w:val="20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72" w:lineRule="auto"/>
    </w:pPr>
    <w:rPr>
      <w:rFonts w:ascii="Inter" w:hAnsi="Inter" w:eastAsia="Inter" w:cs="Inter"/>
      <w:b w:val="0"/>
      <w:i w:val="0"/>
      <w:caps w:val="0"/>
      <w:smallCaps w:val="0"/>
      <w:color w:val="1F1F1F"/>
      <w:sz w:val="21"/>
      <w:szCs w:val="21"/>
    </w:rPr>
  </w:style>
  <w:style w:type="paragraph" w:customStyle="1" w:styleId="EntryTitle">
    <w:name w:val="Entry Title"/>
    <w:basedOn w:val="Normal"/>
    <w:qFormat/>
    <w:pPr>
      <w:keepNext/>
      <w:widowControl/>
      <w:spacing w:before="0" w:after="10"/>
    </w:pPr>
    <w:rPr>
      <w:rFonts w:ascii="Inter" w:hAnsi="Inter" w:eastAsia="Inter" w:cs="Inter"/>
      <w:b/>
      <w:bCs/>
      <w:i w:val="0"/>
      <w:caps w:val="0"/>
      <w:smallCaps w:val="0"/>
      <w:color w:val="1F1F1F"/>
      <w:sz w:val="23"/>
      <w:szCs w:val="23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Inter" w:hAnsi="Inter" w:eastAsia="Inter" w:cs="Inter"/>
      <w:b w:val="0"/>
      <w:i w:val="0"/>
      <w:caps w:val="0"/>
      <w:smallCaps w:val="0"/>
      <w:color w:val="7A7A7A"/>
      <w:sz w:val="21"/>
      <w:szCs w:val="21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34" w:line="372" w:lineRule="auto"/>
      <w:ind w:left="261" w:hanging="227"/>
    </w:pPr>
    <w:rPr>
      <w:rFonts w:ascii="Inter" w:hAnsi="Inter" w:eastAsia="Inter" w:cs="Inter"/>
      <w:b w:val="0"/>
      <w:i w:val="0"/>
      <w:caps w:val="0"/>
      <w:smallCaps w:val="0"/>
      <w:color w:val="1F1F1F"/>
      <w:sz w:val="21"/>
      <w:szCs w:val="21"/>
    </w:rPr>
  </w:style>
  <w:style w:type="paragraph" w:customStyle="1" w:styleId="SideHeading">
    <w:name w:val="Side Heading"/>
    <w:basedOn w:val="Normal"/>
    <w:qFormat/>
    <w:pPr>
      <w:keepNext/>
      <w:widowControl/>
      <w:spacing w:before="284" w:after="142"/>
    </w:pPr>
    <w:rPr>
      <w:rFonts w:ascii="IBM Plex Mono" w:hAnsi="IBM Plex Mono" w:eastAsia="IBM Plex Mono" w:cs="IBM Plex Mono"/>
      <w:b w:val="0"/>
      <w:i w:val="0"/>
      <w:caps w:val="0"/>
      <w:smallCaps w:val="0"/>
      <w:color w:val="111111"/>
      <w:sz w:val="20"/>
      <w:szCs w:val="20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72" w:lineRule="auto"/>
    </w:pPr>
    <w:rPr>
      <w:rFonts w:ascii="Inter" w:hAnsi="Inter" w:eastAsia="Inter" w:cs="Inter"/>
      <w:b w:val="0"/>
      <w:i w:val="0"/>
      <w:caps w:val="0"/>
      <w:smallCaps w:val="0"/>
      <w:color w:val="1F1F1F"/>
      <w:sz w:val="21"/>
      <w:szCs w:val="21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Inter" w:hAnsi="Inter" w:eastAsia="Inter" w:cs="Inter"/>
      <w:b w:val="0"/>
      <w:i w:val="0"/>
      <w:caps/>
      <w:smallCaps w:val="0"/>
      <w:color w:val="7A7A7A"/>
      <w:spacing w:val="20"/>
      <w:sz w:val="20"/>
      <w:szCs w:val="20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34" w:line="372" w:lineRule="auto"/>
      <w:ind w:left="261" w:hanging="227"/>
    </w:pPr>
    <w:rPr>
      <w:rFonts w:ascii="Inter" w:hAnsi="Inter" w:eastAsia="Inter" w:cs="Inter"/>
      <w:b w:val="0"/>
      <w:i w:val="0"/>
      <w:caps w:val="0"/>
      <w:smallCaps w:val="0"/>
      <w:color w:val="1F1F1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Mono Index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