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Kabir Malhotra</w:t>
      </w:r>
    </w:p>
    <w:p>
      <w:pPr>
        <w:pStyle w:val="Role"/>
      </w:pPr>
      <w:r>
        <w:t>Chartered Accountant</w:t>
      </w:r>
    </w:p>
    <w:p>
      <w:pPr>
        <w:pStyle w:val="Contact"/>
      </w:pPr>
      <w:r>
        <w:t>+91 98330 44556</w:t>
      </w:r>
      <w:r>
        <w:rPr>
          <w:color w:val="CCCCCC"/>
        </w:rPr>
        <w:t xml:space="preserve">  |  </w:t>
      </w:r>
      <w:r>
        <w:t>kabir.malhotra@email.com</w:t>
      </w:r>
      <w:r>
        <w:rPr>
          <w:color w:val="CCCCCC"/>
        </w:rPr>
        <w:t xml:space="preserve">  |  </w:t>
      </w:r>
      <w:r>
        <w:t>Mumbai, India</w:t>
      </w:r>
      <w:r>
        <w:rPr>
          <w:color w:val="CCCCCC"/>
        </w:rPr>
        <w:t xml:space="preserve">  |  </w:t>
      </w:r>
      <w:r>
        <w:t>linkedin.com/in/kabirmalhotra</w:t>
      </w:r>
    </w:p>
    <w:p>
      <w:pPr>
        <w:pStyle w:val="SectionHeading"/>
        <w:pBdr>
          <w:bottom w:val="single" w:sz="4" w:space="3" w:color="1A1A1A"/>
        </w:pBdr>
      </w:pPr>
      <w:r>
        <w:t>Profile</w:t>
      </w:r>
    </w:p>
    <w:p>
      <w:pPr>
        <w:pStyle w:val="Summary"/>
      </w:pPr>
      <w:r>
        <w:t>Chartered Accountant with 7 years in audit, financial reporting and FP&amp;A. Known for clean closes, sharp variance analysis and turning compliance work into insight for business leaders.</w:t>
      </w:r>
    </w:p>
    <w:p>
      <w:pPr>
        <w:pStyle w:val="SectionHeading"/>
        <w:pBdr>
          <w:bottom w:val="single" w:sz="4" w:space="3" w:color="1A1A1A"/>
        </w:pBdr>
      </w:pPr>
      <w:r>
        <w:t>Experience</w:t>
      </w:r>
    </w:p>
    <w:tbl>
      <w:tblPr>
        <w:tblW w:w="9638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814"/>
        <w:gridCol w:w="7824"/>
      </w:tblGrid>
      <w:tr>
        <w:tc>
          <w:tcPr>
            <w:tcW w:type="dxa" w:w="1814"/>
            <w:tcMar>
              <w:top w:w="0" w:type="dxa"/>
              <w:left w:w="0" w:type="dxa"/>
              <w:bottom w:w="142" w:type="dxa"/>
              <w:right w:w="170" w:type="dxa"/>
            </w:tcMar>
          </w:tcPr>
          <w:p>
            <w:pPr>
              <w:pStyle w:val="EntryTitle"/>
              <w:spacing w:before="104"/>
            </w:pPr>
            <w:r>
              <w:rPr>
                <w:rFonts w:ascii="Lato" w:hAnsi="Lato" w:eastAsia="Lato" w:cs="Lato"/>
                <w:b w:val="0"/>
                <w:color w:val="808080"/>
                <w:sz w:val="18"/>
                <w:szCs w:val="18"/>
              </w:rPr>
              <w:t>2021 — Present</w:t>
            </w:r>
          </w:p>
          <w:p>
            <w:pPr>
              <w:pStyle w:val="EntryMeta"/>
            </w:pPr>
            <w:r>
              <w:t>Mumbai</w:t>
            </w:r>
          </w:p>
        </w:tc>
        <w:tc>
          <w:tcPr>
            <w:tcW w:type="dxa" w:w="7824"/>
            <w:tcMar>
              <w:top w:w="0" w:type="dxa"/>
              <w:left w:w="0" w:type="dxa"/>
              <w:bottom w:w="142" w:type="dxa"/>
              <w:right w:w="0" w:type="dxa"/>
            </w:tcMar>
          </w:tcPr>
          <w:p>
            <w:pPr>
              <w:pStyle w:val="EntryTitle"/>
              <w:spacing w:before="104"/>
            </w:pPr>
            <w:r>
              <w:t>Finance Manager — FP&amp;A</w:t>
            </w:r>
          </w:p>
          <w:p>
            <w:pPr>
              <w:pStyle w:val="EntryMeta"/>
            </w:pPr>
            <w:r>
              <w:t>Copperline Finance</w:t>
            </w:r>
          </w:p>
          <w:p>
            <w:pPr>
              <w:pStyle w:val="ResumeBullet"/>
            </w:pPr>
            <w:r>
              <w:t>Lead budgeting and forecasting for a business with ₹600 crore revenue.</w:t>
            </w:r>
          </w:p>
          <w:p>
            <w:pPr>
              <w:pStyle w:val="ResumeBullet"/>
            </w:pPr>
            <w:r>
              <w:t>Built a rolling forecast model that cut variance to plan from 12% to 4%.</w:t>
            </w:r>
          </w:p>
          <w:p>
            <w:pPr>
              <w:pStyle w:val="ResumeBullet"/>
            </w:pPr>
            <w:r>
              <w:t>Partner with business heads on pricing, hiring and capex decisions.</w:t>
            </w:r>
          </w:p>
        </w:tc>
      </w:tr>
      <w:tr>
        <w:tc>
          <w:tcPr>
            <w:tcW w:type="dxa" w:w="1814"/>
            <w:tcMar>
              <w:top w:w="0" w:type="dxa"/>
              <w:left w:w="0" w:type="dxa"/>
              <w:bottom w:w="142" w:type="dxa"/>
              <w:right w:w="170" w:type="dxa"/>
            </w:tcMar>
          </w:tcPr>
          <w:p>
            <w:pPr>
              <w:pStyle w:val="EntryTitle"/>
              <w:spacing w:before="104"/>
            </w:pPr>
            <w:r>
              <w:rPr>
                <w:rFonts w:ascii="Lato" w:hAnsi="Lato" w:eastAsia="Lato" w:cs="Lato"/>
                <w:b w:val="0"/>
                <w:color w:val="808080"/>
                <w:sz w:val="18"/>
                <w:szCs w:val="18"/>
              </w:rPr>
              <w:t>2018 — 2021</w:t>
            </w:r>
          </w:p>
          <w:p>
            <w:pPr>
              <w:pStyle w:val="EntryMeta"/>
            </w:pPr>
            <w:r>
              <w:t>Mumbai</w:t>
            </w:r>
          </w:p>
        </w:tc>
        <w:tc>
          <w:tcPr>
            <w:tcW w:type="dxa" w:w="7824"/>
            <w:tcMar>
              <w:top w:w="0" w:type="dxa"/>
              <w:left w:w="0" w:type="dxa"/>
              <w:bottom w:w="142" w:type="dxa"/>
              <w:right w:w="0" w:type="dxa"/>
            </w:tcMar>
          </w:tcPr>
          <w:p>
            <w:pPr>
              <w:pStyle w:val="EntryTitle"/>
              <w:spacing w:before="104"/>
            </w:pPr>
            <w:r>
              <w:t>Assistant Manager — Audit</w:t>
            </w:r>
          </w:p>
          <w:p>
            <w:pPr>
              <w:pStyle w:val="EntryMeta"/>
            </w:pPr>
            <w:r>
              <w:t>Vantage Point Consulting</w:t>
            </w:r>
          </w:p>
          <w:p>
            <w:pPr>
              <w:pStyle w:val="ResumeBullet"/>
            </w:pPr>
            <w:r>
              <w:t>Led statutory audits for manufacturing and services clients.</w:t>
            </w:r>
          </w:p>
          <w:p>
            <w:pPr>
              <w:pStyle w:val="ResumeBullet"/>
            </w:pPr>
            <w:r>
              <w:t>Reviewed Ind AS adoption and internal financial controls for 15 entities.</w:t>
            </w:r>
          </w:p>
          <w:p>
            <w:pPr>
              <w:pStyle w:val="ResumeBullet"/>
            </w:pPr>
            <w:r>
              <w:t>Trained 10 article assistants each year.</w:t>
            </w:r>
          </w:p>
        </w:tc>
      </w:tr>
      <w:tr>
        <w:tc>
          <w:tcPr>
            <w:tcW w:type="dxa" w:w="1814"/>
            <w:tcMar>
              <w:top w:w="0" w:type="dxa"/>
              <w:left w:w="0" w:type="dxa"/>
              <w:bottom w:w="142" w:type="dxa"/>
              <w:right w:w="170" w:type="dxa"/>
            </w:tcMar>
          </w:tcPr>
          <w:p>
            <w:pPr>
              <w:pStyle w:val="EntryTitle"/>
              <w:spacing w:before="104"/>
            </w:pPr>
            <w:r>
              <w:rPr>
                <w:rFonts w:ascii="Lato" w:hAnsi="Lato" w:eastAsia="Lato" w:cs="Lato"/>
                <w:b w:val="0"/>
                <w:color w:val="808080"/>
                <w:sz w:val="18"/>
                <w:szCs w:val="18"/>
              </w:rPr>
              <w:t>2015 — 2018</w:t>
            </w:r>
          </w:p>
          <w:p>
            <w:pPr>
              <w:pStyle w:val="EntryMeta"/>
            </w:pPr>
            <w:r>
              <w:t>Pune</w:t>
            </w:r>
          </w:p>
        </w:tc>
        <w:tc>
          <w:tcPr>
            <w:tcW w:type="dxa" w:w="7824"/>
            <w:tcMar>
              <w:top w:w="0" w:type="dxa"/>
              <w:left w:w="0" w:type="dxa"/>
              <w:bottom w:w="142" w:type="dxa"/>
              <w:right w:w="0" w:type="dxa"/>
            </w:tcMar>
          </w:tcPr>
          <w:p>
            <w:pPr>
              <w:pStyle w:val="EntryTitle"/>
              <w:spacing w:before="104"/>
            </w:pPr>
            <w:r>
              <w:t>Article Assistant</w:t>
            </w:r>
          </w:p>
          <w:p>
            <w:pPr>
              <w:pStyle w:val="EntryMeta"/>
            </w:pPr>
            <w:r>
              <w:t>Indus Ledger Partners</w:t>
            </w:r>
          </w:p>
          <w:p>
            <w:pPr>
              <w:pStyle w:val="ResumeBullet"/>
            </w:pPr>
            <w:r>
              <w:t>Handled tax audits, GST returns and bank audits.</w:t>
            </w:r>
          </w:p>
        </w:tc>
      </w:tr>
    </w:tbl>
    <w:p>
      <w:pPr>
        <w:pStyle w:val="SectionHeading"/>
        <w:pBdr>
          <w:bottom w:val="single" w:sz="4" w:space="3" w:color="1A1A1A"/>
        </w:pBdr>
      </w:pPr>
      <w:r>
        <w:t>Education</w:t>
      </w:r>
    </w:p>
    <w:p>
      <w:pPr>
        <w:pStyle w:val="EntryTitle"/>
        <w:tabs>
          <w:tab w:pos="9638" w:val="right"/>
        </w:tabs>
      </w:pPr>
      <w:r>
        <w:t>Chartered Accountant (CA)</w:t>
      </w:r>
      <w:r>
        <w:tab/>
      </w:r>
      <w:r>
        <w:rPr>
          <w:rFonts w:ascii="Lato" w:hAnsi="Lato" w:eastAsia="Lato" w:cs="Lato"/>
          <w:b w:val="0"/>
          <w:i w:val="0"/>
          <w:color w:val="808080"/>
          <w:sz w:val="18"/>
          <w:szCs w:val="18"/>
        </w:rPr>
        <w:t>2018</w:t>
      </w:r>
    </w:p>
    <w:p>
      <w:pPr>
        <w:pStyle w:val="EntryMeta"/>
      </w:pPr>
      <w:r>
        <w:t>Institute of Chartered Accountants</w:t>
      </w:r>
      <w:r>
        <w:t xml:space="preserve">  |  Cleared all levels in first attempt</w:t>
      </w:r>
    </w:p>
    <w:p>
      <w:pPr>
        <w:pStyle w:val="EntryTitle"/>
        <w:tabs>
          <w:tab w:pos="9638" w:val="right"/>
        </w:tabs>
      </w:pPr>
      <w:r>
        <w:t>B.Com</w:t>
      </w:r>
      <w:r>
        <w:tab/>
      </w:r>
      <w:r>
        <w:rPr>
          <w:rFonts w:ascii="Lato" w:hAnsi="Lato" w:eastAsia="Lato" w:cs="Lato"/>
          <w:b w:val="0"/>
          <w:i w:val="0"/>
          <w:color w:val="808080"/>
          <w:sz w:val="18"/>
          <w:szCs w:val="18"/>
        </w:rPr>
        <w:t>2012 — 2015</w:t>
      </w:r>
    </w:p>
    <w:p>
      <w:pPr>
        <w:pStyle w:val="EntryMeta"/>
      </w:pPr>
      <w:r>
        <w:t>Aravali College of Commerce</w:t>
      </w:r>
      <w:r>
        <w:t xml:space="preserve">  |  82%</w:t>
      </w:r>
    </w:p>
    <w:p>
      <w:pPr>
        <w:pStyle w:val="SectionHeading"/>
        <w:pBdr>
          <w:bottom w:val="single" w:sz="4" w:space="3" w:color="1A1A1A"/>
        </w:pBdr>
      </w:pPr>
      <w:r>
        <w:t>Skills</w:t>
      </w:r>
    </w:p>
    <w:p>
      <w:pPr>
        <w:pStyle w:val="BodyText"/>
      </w:pPr>
      <w:r>
        <w:t>Financial reporting</w:t>
      </w:r>
      <w:r>
        <w:rPr>
          <w:color w:val="1A1A1A"/>
        </w:rPr>
        <w:t xml:space="preserve">  |  </w:t>
      </w:r>
      <w:r>
        <w:t>FP&amp;A</w:t>
      </w:r>
      <w:r>
        <w:rPr>
          <w:color w:val="1A1A1A"/>
        </w:rPr>
        <w:t xml:space="preserve">  |  </w:t>
      </w:r>
      <w:r>
        <w:t>Ind AS</w:t>
      </w:r>
      <w:r>
        <w:rPr>
          <w:color w:val="1A1A1A"/>
        </w:rPr>
        <w:t xml:space="preserve">  |  </w:t>
      </w:r>
      <w:r>
        <w:t>Internal controls</w:t>
      </w:r>
      <w:r>
        <w:rPr>
          <w:color w:val="1A1A1A"/>
        </w:rPr>
        <w:t xml:space="preserve">  |  </w:t>
      </w:r>
      <w:r>
        <w:t>GST &amp; direct tax</w:t>
      </w:r>
      <w:r>
        <w:rPr>
          <w:color w:val="1A1A1A"/>
        </w:rPr>
        <w:t xml:space="preserve">  |  </w:t>
      </w:r>
      <w:r>
        <w:t>Variance analysis</w:t>
      </w:r>
    </w:p>
    <w:p>
      <w:pPr>
        <w:pStyle w:val="SectionHeading"/>
        <w:pBdr>
          <w:bottom w:val="single" w:sz="4" w:space="3" w:color="1A1A1A"/>
        </w:pBdr>
      </w:pPr>
      <w:r>
        <w:t>Certifications</w:t>
      </w:r>
    </w:p>
    <w:p>
      <w:pPr>
        <w:pStyle w:val="ResumeBullet"/>
      </w:pPr>
      <w:r>
        <w:t>Certificate in Ind AS</w:t>
      </w:r>
    </w:p>
    <w:p>
      <w:pPr>
        <w:pStyle w:val="ResumeBullet"/>
      </w:pPr>
      <w:r>
        <w:t>Financial Modelling &amp; Valuation</w:t>
      </w:r>
    </w:p>
    <w:sectPr w:rsidR="00FC693F" w:rsidRPr="0006063C" w:rsidSect="00034616">
      <w:pgSz w:w="11906" w:h="16838"/>
      <w:pgMar w:top="1134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Arial" w:hAnsi="Arial" w:cs="Arial" w:hint="default"/>
        <w:color w:val="1A1A1A"/>
        <w:sz w:val="24"/>
        <w:szCs w:val="2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Arial" w:hAnsi="Arial" w:cs="Arial" w:hint="default"/>
        <w:color w:val="1A1A1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7" w:lineRule="auto"/>
    </w:pPr>
    <w:rPr>
      <w:rFonts w:ascii="Lato" w:hAnsi="Lato" w:eastAsia="Lato" w:cs="Lato"/>
      <w:color w:val="2A2A2A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7" w:lineRule="auto"/>
    </w:pPr>
    <w:rPr>
      <w:rFonts w:ascii="Lato" w:hAnsi="Lato" w:eastAsia="Lato" w:cs="Lato"/>
      <w:b w:val="0"/>
      <w:i w:val="0"/>
      <w:caps w:val="0"/>
      <w:smallCaps w:val="0"/>
      <w:color w:val="2A2A2A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</w:pPr>
    <w:rPr>
      <w:rFonts w:ascii="Lato" w:hAnsi="Lato" w:eastAsia="Lato" w:cs="Lato"/>
      <w:b w:val="0"/>
      <w:i w:val="0"/>
      <w:caps/>
      <w:smallCaps w:val="0"/>
      <w:color w:val="1A1A1A"/>
      <w:spacing w:val="80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126"/>
    </w:pPr>
    <w:rPr>
      <w:rFonts w:ascii="Lato" w:hAnsi="Lato" w:eastAsia="Lato" w:cs="Lato"/>
      <w:b w:val="0"/>
      <w:i w:val="0"/>
      <w:caps/>
      <w:smallCaps w:val="0"/>
      <w:color w:val="777777"/>
      <w:spacing w:val="60"/>
      <w:sz w:val="19"/>
      <w:szCs w:val="19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808080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92" w:after="104"/>
    </w:pPr>
    <w:rPr>
      <w:rFonts w:ascii="Lato" w:hAnsi="Lato" w:eastAsia="Lato" w:cs="Lato"/>
      <w:b/>
      <w:bCs/>
      <w:i w:val="0"/>
      <w:caps/>
      <w:smallCaps w:val="0"/>
      <w:color w:val="1A1A1A"/>
      <w:spacing w:val="60"/>
      <w:sz w:val="17"/>
      <w:szCs w:val="1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7" w:lineRule="auto"/>
    </w:pPr>
    <w:rPr>
      <w:rFonts w:ascii="Lato" w:hAnsi="Lato" w:eastAsia="Lato" w:cs="Lato"/>
      <w:b w:val="0"/>
      <w:i w:val="0"/>
      <w:caps w:val="0"/>
      <w:smallCaps w:val="0"/>
      <w:color w:val="2A2A2A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Lato" w:hAnsi="Lato" w:eastAsia="Lato" w:cs="Lato"/>
      <w:b/>
      <w:bCs/>
      <w:i w:val="0"/>
      <w:caps w:val="0"/>
      <w:smallCaps w:val="0"/>
      <w:color w:val="2A2A2A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808080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17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2A2A2A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92" w:after="104"/>
    </w:pPr>
    <w:rPr>
      <w:rFonts w:ascii="Lato" w:hAnsi="Lato" w:eastAsia="Lato" w:cs="Lato"/>
      <w:b/>
      <w:bCs/>
      <w:i w:val="0"/>
      <w:caps/>
      <w:smallCaps w:val="0"/>
      <w:color w:val="1A1A1A"/>
      <w:spacing w:val="60"/>
      <w:sz w:val="17"/>
      <w:szCs w:val="1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7" w:lineRule="auto"/>
    </w:pPr>
    <w:rPr>
      <w:rFonts w:ascii="Lato" w:hAnsi="Lato" w:eastAsia="Lato" w:cs="Lato"/>
      <w:b w:val="0"/>
      <w:i w:val="0"/>
      <w:caps w:val="0"/>
      <w:smallCaps w:val="0"/>
      <w:color w:val="2A2A2A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808080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17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2A2A2A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Quiet 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