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82"/>
        <w:gridCol w:w="7824"/>
      </w:tblGrid>
      <w:tr>
        <w:trPr>
          <w:trHeight w:val="16804" w:hRule="atLeast"/>
        </w:trPr>
        <w:tc>
          <w:tcPr>
            <w:tcW w:type="dxa" w:w="4082"/>
            <w:shd w:val="clear" w:color="auto" w:fill="FF8A00"/>
            <w:tcMar>
              <w:top w:w="1020" w:type="dxa"/>
              <w:left w:w="680" w:type="dxa"/>
              <w:bottom w:w="680" w:type="dxa"/>
              <w:right w:w="567" w:type="dxa"/>
            </w:tcMar>
          </w:tcPr>
          <w:p>
            <w:pPr>
              <w:pStyle w:val="Name"/>
              <w:spacing w:after="0"/>
              <w:jc w:val="center"/>
            </w:pPr>
            <w:r>
              <w:t>Vikram</w:t>
            </w:r>
          </w:p>
          <w:p>
            <w:pPr>
              <w:pStyle w:val="Name"/>
              <w:jc w:val="center"/>
            </w:pPr>
            <w:r>
              <w:rPr>
                <w:b/>
                <w:bCs/>
                <w:color w:val="2B1A00"/>
              </w:rPr>
              <w:t>Singh</w:t>
            </w:r>
          </w:p>
          <w:p>
            <w:pPr>
              <w:pStyle w:val="Role"/>
              <w:jc w:val="center"/>
            </w:pPr>
            <w:r>
              <w:t>Regional Sales Manager</w:t>
            </w:r>
          </w:p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ellipse"/>
                          <a:ln w="3810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+91 94140 10203</w:t>
            </w:r>
          </w:p>
          <w:p>
            <w:pPr>
              <w:pStyle w:val="SideText"/>
              <w:spacing w:after="30"/>
            </w:pPr>
            <w:r>
              <w:t>vikram.singh@email.com</w:t>
            </w:r>
          </w:p>
          <w:p>
            <w:pPr>
              <w:pStyle w:val="SideText"/>
              <w:spacing w:after="30"/>
            </w:pPr>
            <w:r>
              <w:t>Jaipur, India</w:t>
            </w:r>
          </w:p>
          <w:p>
            <w:pPr>
              <w:pStyle w:val="SideText"/>
              <w:spacing w:after="30"/>
            </w:pPr>
            <w:r>
              <w:t>linkedin.com/in/vikramsingh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Territory planning</w:t>
            </w:r>
          </w:p>
          <w:p>
            <w:pPr>
              <w:pStyle w:val="SideText"/>
              <w:spacing w:after="40"/>
            </w:pPr>
            <w:r>
              <w:t>Distributor management</w:t>
            </w:r>
          </w:p>
          <w:p>
            <w:pPr>
              <w:pStyle w:val="SideText"/>
              <w:spacing w:after="40"/>
            </w:pPr>
            <w:r>
              <w:t>Key accounts</w:t>
            </w:r>
          </w:p>
          <w:p>
            <w:pPr>
              <w:pStyle w:val="SideText"/>
              <w:spacing w:after="40"/>
            </w:pPr>
            <w:r>
              <w:t>Team coaching</w:t>
            </w:r>
          </w:p>
          <w:p>
            <w:pPr>
              <w:pStyle w:val="SideText"/>
              <w:spacing w:after="40"/>
            </w:pPr>
            <w:r>
              <w:t>Trade marketing</w:t>
            </w:r>
          </w:p>
          <w:p>
            <w:pPr>
              <w:pStyle w:val="SideText"/>
              <w:spacing w:after="40"/>
            </w:pPr>
            <w:r>
              <w:t>Negotiation</w:t>
            </w:r>
          </w:p>
          <w:p>
            <w:pPr>
              <w:pStyle w:val="SideHeading"/>
              <w:jc w:val="center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Salesforce</w:t>
            </w:r>
          </w:p>
          <w:p>
            <w:pPr>
              <w:pStyle w:val="SideText"/>
              <w:spacing w:after="40"/>
            </w:pPr>
            <w:r>
              <w:t>SAP SD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Rajasthani</w:t>
            </w:r>
          </w:p>
        </w:tc>
        <w:tc>
          <w:tcPr>
            <w:tcW w:type="dxa" w:w="7824"/>
            <w:shd w:val="clear" w:color="auto" w:fill="FFFFFF"/>
            <w:tcMar>
              <w:top w:w="1020" w:type="dxa"/>
              <w:left w:w="680" w:type="dxa"/>
              <w:bottom w:w="680" w:type="dxa"/>
              <w:right w:w="794" w:type="dxa"/>
            </w:tcMar>
          </w:tcPr>
          <w:p>
            <w:pPr>
              <w:pStyle w:val="SectionHeading"/>
              <w:pBdr>
                <w:bottom w:val="single" w:sz="18" w:space="2" w:color="FF8A00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Sales leader with 10 years in FMCG and B2B distribution across North India. I build teams that hit their numbers, open new territories and keep partners loyal.</w:t>
            </w:r>
          </w:p>
          <w:p>
            <w:pPr>
              <w:pStyle w:val="SectionHeading"/>
              <w:pBdr>
                <w:bottom w:val="single" w:sz="18" w:space="2" w:color="FF8A00"/>
              </w:pBdr>
            </w:pPr>
            <w:r>
              <w:t>Experience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Regional Sales Manager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A6F62"/>
                <w:sz w:val="18"/>
                <w:szCs w:val="18"/>
              </w:rPr>
              <w:t>2020 — Present</w:t>
            </w:r>
          </w:p>
          <w:p>
            <w:pPr>
              <w:pStyle w:val="EntryMeta"/>
            </w:pPr>
            <w:r>
              <w:t>Saffronleaf Foods, Jaipur</w:t>
            </w:r>
          </w:p>
          <w:p>
            <w:pPr>
              <w:pStyle w:val="ResumeBullet"/>
            </w:pPr>
            <w:r>
              <w:t>Lead a team of 28 across Rajasthan and Haryana; ₹95 crore annual target.</w:t>
            </w:r>
          </w:p>
          <w:p>
            <w:pPr>
              <w:pStyle w:val="ResumeBullet"/>
            </w:pPr>
            <w:r>
              <w:t>Grew the region 22% year on year for three straight years.</w:t>
            </w:r>
          </w:p>
          <w:p>
            <w:pPr>
              <w:pStyle w:val="ResumeBullet"/>
            </w:pPr>
            <w:r>
              <w:t>Added 1,800 new retail outlets through a rural distributor programme.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Area Sales Manager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A6F62"/>
                <w:sz w:val="18"/>
                <w:szCs w:val="18"/>
              </w:rPr>
              <w:t>2016 — 2020</w:t>
            </w:r>
          </w:p>
          <w:p>
            <w:pPr>
              <w:pStyle w:val="EntryMeta"/>
            </w:pPr>
            <w:r>
              <w:t>Pinecrest Retail, Jaipur</w:t>
            </w:r>
          </w:p>
          <w:p>
            <w:pPr>
              <w:pStyle w:val="ResumeBullet"/>
            </w:pPr>
            <w:r>
              <w:t>Managed 9 distributors and 3,000 outlets across five districts.</w:t>
            </w:r>
          </w:p>
          <w:p>
            <w:pPr>
              <w:pStyle w:val="ResumeBullet"/>
            </w:pPr>
            <w:r>
              <w:t>Launched a modern-trade channel that reached ₹12 crore in two years.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Sales Officer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A6F62"/>
                <w:sz w:val="18"/>
                <w:szCs w:val="18"/>
              </w:rPr>
              <w:t>2014 — 2016</w:t>
            </w:r>
          </w:p>
          <w:p>
            <w:pPr>
              <w:pStyle w:val="EntryMeta"/>
            </w:pPr>
            <w:r>
              <w:t>Saffronleaf Foods, Udaipur</w:t>
            </w:r>
          </w:p>
          <w:p>
            <w:pPr>
              <w:pStyle w:val="ResumeBullet"/>
            </w:pPr>
            <w:r>
              <w:t>Opened 400 outlets in a new territory within the first year.</w:t>
            </w:r>
          </w:p>
          <w:p>
            <w:pPr>
              <w:pStyle w:val="SectionHeading"/>
              <w:pBdr>
                <w:bottom w:val="single" w:sz="18" w:space="2" w:color="FF8A00"/>
              </w:pBdr>
            </w:pPr>
            <w:r>
              <w:t>Education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MBA, Sales &amp; Marketing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A6F62"/>
                <w:sz w:val="18"/>
                <w:szCs w:val="18"/>
              </w:rPr>
              <w:t>2012 — 2014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B.Sc.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A6F62"/>
                <w:sz w:val="18"/>
                <w:szCs w:val="18"/>
              </w:rPr>
              <w:t>2009 — 2012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SectionHeading"/>
              <w:pBdr>
                <w:bottom w:val="single" w:sz="18" w:space="2" w:color="FF8A00"/>
              </w:pBdr>
            </w:pPr>
            <w:r>
              <w:t>Awards</w:t>
            </w:r>
          </w:p>
          <w:p>
            <w:pPr>
              <w:pStyle w:val="ResumeBullet"/>
            </w:pPr>
            <w:r>
              <w:t>Top Region Award, 2022 and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●"/>
      <w:lvlJc w:val="left"/>
      <w:pPr>
        <w:ind w:left="261" w:hanging="227"/>
      </w:pPr>
      <w:rPr>
        <w:rFonts w:ascii="Arial" w:hAnsi="Arial" w:cs="Arial" w:hint="default"/>
        <w:color w:val="FF8A00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●"/>
      <w:lvlJc w:val="left"/>
      <w:pPr>
        <w:ind w:left="261" w:hanging="227"/>
      </w:pPr>
      <w:rPr>
        <w:rFonts w:ascii="Arial" w:hAnsi="Arial" w:cs="Arial" w:hint="default"/>
        <w:color w:val="2B1A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5" w:lineRule="auto"/>
    </w:pPr>
    <w:rPr>
      <w:rFonts w:ascii="Poppins" w:hAnsi="Poppins" w:eastAsia="Poppins" w:cs="Poppins"/>
      <w:color w:val="2E2A25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5" w:lineRule="auto"/>
    </w:pPr>
    <w:rPr>
      <w:rFonts w:ascii="Poppins" w:hAnsi="Poppins" w:eastAsia="Poppins" w:cs="Poppins"/>
      <w:b w:val="0"/>
      <w:i w:val="0"/>
      <w:caps w:val="0"/>
      <w:smallCaps w:val="0"/>
      <w:color w:val="2E2A25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Poppins" w:hAnsi="Poppins" w:eastAsia="Poppins" w:cs="Poppins"/>
      <w:b/>
      <w:bCs/>
      <w:i w:val="0"/>
      <w:caps w:val="0"/>
      <w:smallCaps w:val="0"/>
      <w:color w:val="FFFFFF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168"/>
    </w:pPr>
    <w:rPr>
      <w:rFonts w:ascii="Poppins" w:hAnsi="Poppins" w:eastAsia="Poppins" w:cs="Poppins"/>
      <w:b w:val="0"/>
      <w:i w:val="0"/>
      <w:caps/>
      <w:smallCaps w:val="0"/>
      <w:color w:val="FFFFFF"/>
      <w:spacing w:val="3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oppins" w:hAnsi="Poppins" w:eastAsia="Poppins" w:cs="Poppins"/>
      <w:b w:val="0"/>
      <w:i w:val="0"/>
      <w:caps w:val="0"/>
      <w:smallCaps w:val="0"/>
      <w:color w:val="7A6F62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50" w:after="104"/>
    </w:pPr>
    <w:rPr>
      <w:rFonts w:ascii="Poppins" w:hAnsi="Poppins" w:eastAsia="Poppins" w:cs="Poppins"/>
      <w:b/>
      <w:bCs/>
      <w:i w:val="0"/>
      <w:caps w:val="0"/>
      <w:smallCaps w:val="0"/>
      <w:color w:val="2B1A0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5" w:lineRule="auto"/>
    </w:pPr>
    <w:rPr>
      <w:rFonts w:ascii="Poppins" w:hAnsi="Poppins" w:eastAsia="Poppins" w:cs="Poppins"/>
      <w:b w:val="0"/>
      <w:i w:val="0"/>
      <w:caps w:val="0"/>
      <w:smallCaps w:val="0"/>
      <w:color w:val="2E2A25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Poppins" w:hAnsi="Poppins" w:eastAsia="Poppins" w:cs="Poppins"/>
      <w:b/>
      <w:bCs/>
      <w:i w:val="0"/>
      <w:caps w:val="0"/>
      <w:smallCaps w:val="0"/>
      <w:color w:val="2E2A25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oppins" w:hAnsi="Poppins" w:eastAsia="Poppins" w:cs="Poppins"/>
      <w:b w:val="0"/>
      <w:i w:val="0"/>
      <w:caps w:val="0"/>
      <w:smallCaps w:val="0"/>
      <w:color w:val="E07400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05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2E2A25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50" w:after="104"/>
      <w:jc w:val="center"/>
    </w:pPr>
    <w:rPr>
      <w:rFonts w:ascii="Poppins" w:hAnsi="Poppins" w:eastAsia="Poppins" w:cs="Poppins"/>
      <w:b/>
      <w:bCs/>
      <w:i w:val="0"/>
      <w:caps w:val="0"/>
      <w:smallCaps w:val="0"/>
      <w:color w:val="2B1A0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5" w:lineRule="auto"/>
      <w:jc w:val="center"/>
    </w:pPr>
    <w:rPr>
      <w:rFonts w:ascii="Poppins" w:hAnsi="Poppins" w:eastAsia="Poppins" w:cs="Poppins"/>
      <w:b w:val="0"/>
      <w:i w:val="0"/>
      <w:caps w:val="0"/>
      <w:smallCaps w:val="0"/>
      <w:color w:val="FFFFFF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Poppins" w:hAnsi="Poppins" w:eastAsia="Poppins" w:cs="Poppins"/>
      <w:b w:val="0"/>
      <w:i w:val="0"/>
      <w:caps/>
      <w:smallCaps w:val="0"/>
      <w:color w:val="FFE3C2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05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FFFFFF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Mango Sidebar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