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370"/>
        <w:gridCol w:w="4535"/>
      </w:tblGrid>
      <w:tr>
        <w:trPr>
          <w:trHeight w:val="3288" w:hRule="exact"/>
        </w:trPr>
        <w:tc>
          <w:tcPr>
            <w:tcW w:type="dxa" w:w="11905"/>
            <w:gridSpan w:val="2"/>
            <w:shd w:val="clear" w:color="auto" w:fill="6D28D9"/>
            <w:tcMar>
              <w:top w:w="1020" w:type="dxa"/>
              <w:left w:w="907" w:type="dxa"/>
              <w:bottom w:w="567" w:type="dxa"/>
              <w:right w:w="907" w:type="dxa"/>
            </w:tcMar>
            <w:vAlign w:val="center"/>
          </w:tcPr>
          <w:p>
            <w:pPr>
              <w:pStyle w:val="Name"/>
            </w:pPr>
            <w:r>
              <w:t>Ishita Banerjee</w:t>
            </w:r>
          </w:p>
          <w:p>
            <w:pPr>
              <w:pStyle w:val="Role"/>
            </w:pPr>
            <w:r>
              <w:t>MBA Candidate · Marketing &amp; Analytics</w:t>
            </w:r>
          </w:p>
          <w:p>
            <w:pPr>
              <w:pStyle w:val="Contact"/>
            </w:pPr>
            <w:r>
              <w:t>+91 98310 34567</w:t>
            </w:r>
            <w:r>
              <w:rPr>
                <w:color w:val="C4B5FD"/>
              </w:rPr>
              <w:t xml:space="preserve">  •  </w:t>
            </w:r>
            <w:r>
              <w:t>ishita.banerjee@email.com</w:t>
            </w:r>
            <w:r>
              <w:rPr>
                <w:color w:val="C4B5FD"/>
              </w:rPr>
              <w:t xml:space="preserve">  •  </w:t>
            </w:r>
            <w:r>
              <w:t>Kolkata, India</w:t>
            </w:r>
            <w:r>
              <w:rPr>
                <w:color w:val="C4B5FD"/>
              </w:rPr>
              <w:t xml:space="preserve">  •  </w:t>
            </w:r>
            <w:r>
              <w:t>linkedin.com/in/ishitabanerjee</w:t>
            </w:r>
          </w:p>
        </w:tc>
      </w:tr>
      <w:tr>
        <w:trPr>
          <w:trHeight w:val="13516" w:hRule="atLeast"/>
        </w:trPr>
        <w:tc>
          <w:tcPr>
            <w:tcW w:type="dxa" w:w="7370"/>
            <w:shd w:val="clear" w:color="auto" w:fill="FFFFFF"/>
            <w:tcMar>
              <w:top w:w="794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bottom w:val="single" w:sz="6" w:space="3" w:color="DDD0FB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MBA candidate with an engineering background and a summer internship in brand marketing. Energised by consumer insight, data and building brands that people love.</w:t>
            </w:r>
          </w:p>
          <w:p>
            <w:pPr>
              <w:pStyle w:val="SectionHeading"/>
              <w:pBdr>
                <w:bottom w:val="single" w:sz="6" w:space="3" w:color="DDD0FB"/>
              </w:pBdr>
            </w:pPr>
            <w:r>
              <w:t>Education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MBA, Marketing &amp; Analytics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6F6585"/>
                <w:sz w:val="20"/>
                <w:szCs w:val="20"/>
              </w:rPr>
              <w:t>2024 — 2026</w:t>
            </w:r>
          </w:p>
          <w:p>
            <w:pPr>
              <w:pStyle w:val="EntryMeta"/>
            </w:pPr>
            <w:r>
              <w:t>Sunrise Institute of Management</w:t>
            </w:r>
            <w:r>
              <w:t xml:space="preserve">  •  CGPA 3.6 / 4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B.Tech, Electronics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6F6585"/>
                <w:sz w:val="20"/>
                <w:szCs w:val="20"/>
              </w:rPr>
              <w:t>2017 — 2021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•  CGPA 8.0 / 10</w:t>
            </w:r>
          </w:p>
          <w:p>
            <w:pPr>
              <w:pStyle w:val="SectionHeading"/>
              <w:pBdr>
                <w:bottom w:val="single" w:sz="6" w:space="3" w:color="DDD0FB"/>
              </w:pBdr>
            </w:pPr>
            <w:r>
              <w:t>Internship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Summer Intern — Brand Marketing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6F6585"/>
                <w:sz w:val="20"/>
                <w:szCs w:val="20"/>
              </w:rPr>
              <w:t>Apr — Jun 2025</w:t>
            </w:r>
          </w:p>
          <w:p>
            <w:pPr>
              <w:pStyle w:val="EntryMeta"/>
            </w:pPr>
            <w:r>
              <w:t>Saffronleaf Foods, Mumbai</w:t>
            </w:r>
          </w:p>
          <w:p>
            <w:pPr>
              <w:pStyle w:val="ResumeBullet"/>
            </w:pPr>
            <w:r>
              <w:t>Analysed sales data for a snack range across 6 states.</w:t>
            </w:r>
          </w:p>
          <w:p>
            <w:pPr>
              <w:pStyle w:val="ResumeBullet"/>
            </w:pPr>
            <w:r>
              <w:t>Proposed a regional pack-size strategy adopted for a pilot.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Associate Engineer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6F6585"/>
                <w:sz w:val="20"/>
                <w:szCs w:val="20"/>
              </w:rPr>
              <w:t>2021 — 2024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Worked on test automation for a banking client.</w:t>
            </w:r>
          </w:p>
          <w:p>
            <w:pPr>
              <w:pStyle w:val="SectionHeading"/>
              <w:pBdr>
                <w:bottom w:val="single" w:sz="6" w:space="3" w:color="DDD0FB"/>
              </w:pBdr>
            </w:pPr>
            <w:r>
              <w:t>Projects</w:t>
            </w:r>
          </w:p>
          <w:p>
            <w:pPr>
              <w:pStyle w:val="EntryTitle"/>
              <w:tabs>
                <w:tab w:pos="5896" w:val="right"/>
              </w:tabs>
            </w:pPr>
            <w:r>
              <w:t>Market-entry plan for a millet snack brand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6F6585"/>
                <w:sz w:val="20"/>
                <w:szCs w:val="20"/>
              </w:rPr>
              <w:t>2025</w:t>
            </w:r>
          </w:p>
          <w:p>
            <w:pPr>
              <w:pStyle w:val="EntryMeta"/>
            </w:pPr>
            <w:r>
              <w:t>Live project</w:t>
            </w:r>
          </w:p>
          <w:p>
            <w:pPr>
              <w:pStyle w:val="ResumeBullet"/>
            </w:pPr>
            <w:r>
              <w:t>Ran 300 consumer surveys and built a go-to-market plan for two cities.</w:t>
            </w:r>
          </w:p>
        </w:tc>
        <w:tc>
          <w:tcPr>
            <w:tcW w:type="dxa" w:w="4535"/>
            <w:shd w:val="clear" w:color="auto" w:fill="F3EEFF"/>
            <w:tcMar>
              <w:top w:w="794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bottom w:val="single" w:sz="6" w:space="3" w:color="DDD0FB"/>
              </w:pBdr>
              <w:spacing w:before="0"/>
            </w:pPr>
            <w:r>
              <w:t>Skills</w:t>
            </w:r>
          </w:p>
          <w:p>
            <w:pPr>
              <w:pStyle w:val="SideText"/>
              <w:tabs>
                <w:tab w:pos="3288" w:val="right"/>
              </w:tabs>
              <w:spacing w:after="40"/>
            </w:pPr>
            <w:r>
              <w:t>Brand management</w:t>
            </w:r>
            <w:r>
              <w:tab/>
            </w:r>
            <w:r>
              <w:rPr>
                <w:rFonts w:ascii="Arial" w:hAnsi="Arial" w:eastAsia="Arial" w:cs="Arial"/>
                <w:color w:val="6D28D9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DDD0FB"/>
                <w:sz w:val="14"/>
                <w:szCs w:val="14"/>
              </w:rPr>
              <w:t>●●</w:t>
            </w:r>
          </w:p>
          <w:p>
            <w:pPr>
              <w:pStyle w:val="SideText"/>
              <w:tabs>
                <w:tab w:pos="3288" w:val="right"/>
              </w:tabs>
              <w:spacing w:after="40"/>
            </w:pPr>
            <w:r>
              <w:t>Market research</w:t>
            </w:r>
            <w:r>
              <w:tab/>
            </w:r>
            <w:r>
              <w:rPr>
                <w:rFonts w:ascii="Arial" w:hAnsi="Arial" w:eastAsia="Arial" w:cs="Arial"/>
                <w:color w:val="6D28D9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DDD0FB"/>
                <w:sz w:val="14"/>
                <w:szCs w:val="14"/>
              </w:rPr>
              <w:t>●</w:t>
            </w:r>
          </w:p>
          <w:p>
            <w:pPr>
              <w:pStyle w:val="SideText"/>
              <w:tabs>
                <w:tab w:pos="3288" w:val="right"/>
              </w:tabs>
              <w:spacing w:after="40"/>
            </w:pPr>
            <w:r>
              <w:t>Consumer insight</w:t>
            </w:r>
            <w:r>
              <w:tab/>
            </w:r>
            <w:r>
              <w:rPr>
                <w:rFonts w:ascii="Arial" w:hAnsi="Arial" w:eastAsia="Arial" w:cs="Arial"/>
                <w:color w:val="6D28D9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DDD0FB"/>
                <w:sz w:val="14"/>
                <w:szCs w:val="14"/>
              </w:rPr>
              <w:t>●</w:t>
            </w:r>
          </w:p>
          <w:p>
            <w:pPr>
              <w:pStyle w:val="SideText"/>
              <w:tabs>
                <w:tab w:pos="3288" w:val="right"/>
              </w:tabs>
              <w:spacing w:after="40"/>
            </w:pPr>
            <w:r>
              <w:t>Excel modelling</w:t>
            </w:r>
            <w:r>
              <w:tab/>
            </w:r>
            <w:r>
              <w:rPr>
                <w:rFonts w:ascii="Arial" w:hAnsi="Arial" w:eastAsia="Arial" w:cs="Arial"/>
                <w:color w:val="6D28D9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DDD0FB"/>
                <w:sz w:val="14"/>
                <w:szCs w:val="14"/>
              </w:rPr>
              <w:t>●</w:t>
            </w:r>
          </w:p>
          <w:p>
            <w:pPr>
              <w:pStyle w:val="SideText"/>
              <w:tabs>
                <w:tab w:pos="3288" w:val="right"/>
              </w:tabs>
              <w:spacing w:after="40"/>
            </w:pPr>
            <w:r>
              <w:t>Presentation</w:t>
            </w:r>
            <w:r>
              <w:tab/>
            </w:r>
            <w:r>
              <w:rPr>
                <w:rFonts w:ascii="Arial" w:hAnsi="Arial" w:eastAsia="Arial" w:cs="Arial"/>
                <w:color w:val="6D28D9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DDD0FB"/>
                <w:sz w:val="14"/>
                <w:szCs w:val="14"/>
              </w:rPr>
              <w:t>●●</w:t>
            </w:r>
          </w:p>
          <w:p>
            <w:pPr>
              <w:pStyle w:val="SideHeading"/>
              <w:pBdr>
                <w:bottom w:val="single" w:sz="6" w:space="3" w:color="DDD0FB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SPSS</w:t>
            </w:r>
          </w:p>
          <w:p>
            <w:pPr>
              <w:pStyle w:val="SideText"/>
              <w:spacing w:after="40"/>
            </w:pPr>
            <w:r>
              <w:t>Canva</w:t>
            </w:r>
          </w:p>
          <w:p>
            <w:pPr>
              <w:pStyle w:val="SideHeading"/>
              <w:pBdr>
                <w:bottom w:val="single" w:sz="6" w:space="3" w:color="DDD0FB"/>
              </w:pBdr>
            </w:pPr>
            <w:r>
              <w:t>Achievements</w:t>
            </w:r>
          </w:p>
          <w:p>
            <w:pPr>
              <w:pStyle w:val="SideBullet"/>
            </w:pPr>
            <w:r>
              <w:t>Finalist, national B-school marketing case competition</w:t>
            </w:r>
          </w:p>
          <w:p>
            <w:pPr>
              <w:pStyle w:val="SideBullet"/>
            </w:pPr>
            <w:r>
              <w:t>Dean's List, Term 2</w:t>
            </w:r>
          </w:p>
          <w:p>
            <w:pPr>
              <w:pStyle w:val="SideHeading"/>
              <w:pBdr>
                <w:bottom w:val="single" w:sz="6" w:space="3" w:color="DDD0FB"/>
              </w:pBdr>
            </w:pPr>
            <w:r>
              <w:t>Leadership</w:t>
            </w:r>
          </w:p>
          <w:p>
            <w:pPr>
              <w:pStyle w:val="SideBullet"/>
            </w:pPr>
            <w:r>
              <w:t>Marketing Club Coordinator</w:t>
            </w:r>
          </w:p>
          <w:p>
            <w:pPr>
              <w:pStyle w:val="SideHeading"/>
              <w:pBdr>
                <w:bottom w:val="single" w:sz="6" w:space="3" w:color="DDD0FB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Bengali</w:t>
            </w:r>
          </w:p>
          <w:p>
            <w:pPr>
              <w:pStyle w:val="SideText"/>
              <w:spacing w:after="40"/>
            </w:pPr>
            <w:r>
              <w:t>Hindi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6D28D9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6D28D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ontserrat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2" w:lineRule="auto"/>
    </w:pPr>
    <w:rPr>
      <w:rFonts w:ascii="Montserrat" w:hAnsi="Montserrat" w:eastAsia="Montserrat" w:cs="Montserrat"/>
      <w:color w:val="2A2140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2" w:lineRule="auto"/>
    </w:pPr>
    <w:rPr>
      <w:rFonts w:ascii="Montserrat" w:hAnsi="Montserrat" w:eastAsia="Montserrat" w:cs="Montserrat"/>
      <w:b w:val="0"/>
      <w:i w:val="0"/>
      <w:caps w:val="0"/>
      <w:smallCaps w:val="0"/>
      <w:color w:val="2A2140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Montserrat" w:hAnsi="Montserrat" w:eastAsia="Montserrat" w:cs="Montserrat"/>
      <w:b/>
      <w:bCs/>
      <w:i w:val="0"/>
      <w:caps/>
      <w:smallCaps w:val="0"/>
      <w:color w:val="FFFFFF"/>
      <w:spacing w:val="20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56"/>
    </w:pPr>
    <w:rPr>
      <w:rFonts w:ascii="Montserrat" w:hAnsi="Montserrat" w:eastAsia="Montserrat" w:cs="Montserrat"/>
      <w:b w:val="0"/>
      <w:i w:val="0"/>
      <w:caps w:val="0"/>
      <w:smallCaps w:val="0"/>
      <w:color w:val="E9D5FF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Montserrat" w:hAnsi="Montserrat" w:eastAsia="Montserrat" w:cs="Montserrat"/>
      <w:b w:val="0"/>
      <w:i w:val="0"/>
      <w:caps w:val="0"/>
      <w:smallCaps w:val="0"/>
      <w:color w:val="FFFFFF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12" w:after="130"/>
    </w:pPr>
    <w:rPr>
      <w:rFonts w:ascii="Montserrat" w:hAnsi="Montserrat" w:eastAsia="Montserrat" w:cs="Montserrat"/>
      <w:b/>
      <w:bCs/>
      <w:i w:val="0"/>
      <w:caps/>
      <w:smallCaps w:val="0"/>
      <w:color w:val="6D28D9"/>
      <w:spacing w:val="4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2" w:lineRule="auto"/>
    </w:pPr>
    <w:rPr>
      <w:rFonts w:ascii="Montserrat" w:hAnsi="Montserrat" w:eastAsia="Montserrat" w:cs="Montserrat"/>
      <w:b w:val="0"/>
      <w:i w:val="0"/>
      <w:caps w:val="0"/>
      <w:smallCaps w:val="0"/>
      <w:color w:val="2A2140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10"/>
    </w:pPr>
    <w:rPr>
      <w:rFonts w:ascii="Montserrat" w:hAnsi="Montserrat" w:eastAsia="Montserrat" w:cs="Montserrat"/>
      <w:b/>
      <w:bCs/>
      <w:i w:val="0"/>
      <w:caps w:val="0"/>
      <w:smallCaps w:val="0"/>
      <w:color w:val="2A214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Montserrat" w:hAnsi="Montserrat" w:eastAsia="Montserrat" w:cs="Montserrat"/>
      <w:b w:val="0"/>
      <w:i w:val="0"/>
      <w:caps w:val="0"/>
      <w:smallCaps w:val="0"/>
      <w:color w:val="7C3AED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32" w:lineRule="auto"/>
      <w:ind w:left="295" w:hanging="272"/>
    </w:pPr>
    <w:rPr>
      <w:rFonts w:ascii="Montserrat" w:hAnsi="Montserrat" w:eastAsia="Montserrat" w:cs="Montserrat"/>
      <w:b w:val="0"/>
      <w:i w:val="0"/>
      <w:caps w:val="0"/>
      <w:smallCaps w:val="0"/>
      <w:color w:val="2A2140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12" w:after="130"/>
    </w:pPr>
    <w:rPr>
      <w:rFonts w:ascii="Montserrat" w:hAnsi="Montserrat" w:eastAsia="Montserrat" w:cs="Montserrat"/>
      <w:b/>
      <w:bCs/>
      <w:i w:val="0"/>
      <w:caps/>
      <w:smallCaps w:val="0"/>
      <w:color w:val="6D28D9"/>
      <w:spacing w:val="4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2" w:lineRule="auto"/>
    </w:pPr>
    <w:rPr>
      <w:rFonts w:ascii="Montserrat" w:hAnsi="Montserrat" w:eastAsia="Montserrat" w:cs="Montserrat"/>
      <w:b w:val="0"/>
      <w:i w:val="0"/>
      <w:caps w:val="0"/>
      <w:smallCaps w:val="0"/>
      <w:color w:val="2A2140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Montserrat" w:hAnsi="Montserrat" w:eastAsia="Montserrat" w:cs="Montserrat"/>
      <w:b w:val="0"/>
      <w:i w:val="0"/>
      <w:caps/>
      <w:smallCaps w:val="0"/>
      <w:color w:val="6F6585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32" w:lineRule="auto"/>
      <w:ind w:left="295" w:hanging="272"/>
    </w:pPr>
    <w:rPr>
      <w:rFonts w:ascii="Montserrat" w:hAnsi="Montserrat" w:eastAsia="Montserrat" w:cs="Montserrat"/>
      <w:b w:val="0"/>
      <w:i w:val="0"/>
      <w:caps w:val="0"/>
      <w:smallCaps w:val="0"/>
      <w:color w:val="2A2140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Pop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