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Nikita Bose</w:t>
      </w:r>
    </w:p>
    <w:p>
      <w:pPr>
        <w:pStyle w:val="Role"/>
      </w:pPr>
      <w:r>
        <w:t>Content Strategist &amp; Writer</w:t>
      </w:r>
    </w:p>
    <w:p>
      <w:pPr>
        <w:pStyle w:val="Contact"/>
      </w:pPr>
      <w:r>
        <w:t>+91 98310 99001</w:t>
      </w:r>
      <w:r>
        <w:rPr>
          <w:color w:val="E63946"/>
        </w:rPr>
        <w:t xml:space="preserve">   </w:t>
      </w:r>
      <w:r>
        <w:t>nikita.bose@email.com</w:t>
      </w:r>
      <w:r>
        <w:rPr>
          <w:color w:val="E63946"/>
        </w:rPr>
        <w:t xml:space="preserve">   </w:t>
      </w:r>
      <w:r>
        <w:t>Kolkata, India</w:t>
      </w:r>
      <w:r>
        <w:rPr>
          <w:color w:val="E63946"/>
        </w:rPr>
        <w:t xml:space="preserve">   </w:t>
      </w:r>
      <w:r>
        <w:t>linkedin.com/in/nikitabose</w:t>
      </w:r>
      <w:r>
        <w:rPr>
          <w:color w:val="E63946"/>
        </w:rPr>
        <w:t xml:space="preserve">   </w:t>
      </w:r>
      <w:r>
        <w:t>nikitawrites.in</w:t>
      </w:r>
    </w:p>
    <w:tbl>
      <w:tblPr>
        <w:tblW w:w="9865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2268"/>
        <w:gridCol w:w="7597"/>
      </w:tblGrid>
      <w:tr>
        <w:tc>
          <w:tcPr>
            <w:tcW w:type="dxa" w:w="226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  <w:pBdr>
                <w:left w:val="single" w:sz="36" w:space="6" w:color="E63946"/>
              </w:pBdr>
              <w:ind w:left="0" w:right="0"/>
            </w:pPr>
            <w:r>
              <w:t>Profile</w:t>
            </w:r>
          </w:p>
        </w:tc>
        <w:tc>
          <w:tcPr>
            <w:tcW w:type="dxa" w:w="7597"/>
          </w:tcPr>
          <w:p>
            <w:pPr>
              <w:pStyle w:val="Summary"/>
              <w:spacing w:before="332"/>
            </w:pPr>
            <w:r>
              <w:t>Writer and content strategist with 6 years of crafting stories for brands, newsrooms and products. I turn complex ideas into clear, warm writing, and build content systems that teams can keep up with.</w:t>
            </w:r>
          </w:p>
        </w:tc>
      </w:tr>
      <w:tr>
        <w:tc>
          <w:tcPr>
            <w:tcW w:type="dxa" w:w="226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  <w:pBdr>
                <w:left w:val="single" w:sz="36" w:space="6" w:color="E63946"/>
              </w:pBdr>
              <w:ind w:left="0" w:right="0"/>
            </w:pPr>
            <w:r>
              <w:t>Experience</w:t>
            </w:r>
          </w:p>
        </w:tc>
        <w:tc>
          <w:tcPr>
            <w:tcW w:type="dxa" w:w="7597"/>
          </w:tcPr>
          <w:p>
            <w:pPr>
              <w:pStyle w:val="EntryTitle"/>
              <w:tabs>
                <w:tab w:pos="7597" w:val="right"/>
              </w:tabs>
              <w:spacing w:before="332"/>
            </w:pPr>
            <w:r>
              <w:t>Content Strategist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7A7A7A"/>
                <w:sz w:val="21"/>
                <w:szCs w:val="21"/>
              </w:rPr>
              <w:t>2021 — Present</w:t>
            </w:r>
          </w:p>
          <w:p>
            <w:pPr>
              <w:pStyle w:val="EntryMeta"/>
            </w:pPr>
            <w:r>
              <w:t>Monsoon Media House, Kolkata</w:t>
            </w:r>
          </w:p>
          <w:p>
            <w:pPr>
              <w:pStyle w:val="ResumeBullet"/>
            </w:pPr>
            <w:r>
              <w:t>Lead content for three lifestyle brands, reaching 2.5 million readers a month.</w:t>
            </w:r>
          </w:p>
          <w:p>
            <w:pPr>
              <w:pStyle w:val="ResumeBullet"/>
            </w:pPr>
            <w:r>
              <w:t>Built an editorial calendar and style guide used by 25 freelance writers.</w:t>
            </w:r>
          </w:p>
          <w:p>
            <w:pPr>
              <w:pStyle w:val="ResumeBullet"/>
            </w:pPr>
            <w:r>
              <w:t>Grew organic search traffic by 140% in 18 months.</w:t>
            </w:r>
          </w:p>
          <w:p>
            <w:pPr>
              <w:pStyle w:val="EntryTitle"/>
              <w:tabs>
                <w:tab w:pos="7597" w:val="right"/>
              </w:tabs>
            </w:pPr>
            <w:r>
              <w:t>Senior Copywriter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7A7A7A"/>
                <w:sz w:val="21"/>
                <w:szCs w:val="21"/>
              </w:rPr>
              <w:t>2018 — 2021</w:t>
            </w:r>
          </w:p>
          <w:p>
            <w:pPr>
              <w:pStyle w:val="EntryMeta"/>
            </w:pPr>
            <w:r>
              <w:t>Marigold Design Co., Kolkata</w:t>
            </w:r>
          </w:p>
          <w:p>
            <w:pPr>
              <w:pStyle w:val="ResumeBullet"/>
            </w:pPr>
            <w:r>
              <w:t>Wrote campaigns, packaging and websites for food, fashion and education brands.</w:t>
            </w:r>
          </w:p>
          <w:p>
            <w:pPr>
              <w:pStyle w:val="ResumeBullet"/>
            </w:pPr>
            <w:r>
              <w:t>Won two regional advertising awards for a festive campaign.</w:t>
            </w:r>
          </w:p>
          <w:p>
            <w:pPr>
              <w:pStyle w:val="EntryTitle"/>
              <w:tabs>
                <w:tab w:pos="7597" w:val="right"/>
              </w:tabs>
            </w:pPr>
            <w:r>
              <w:t>Features Writer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7A7A7A"/>
                <w:sz w:val="21"/>
                <w:szCs w:val="21"/>
              </w:rPr>
              <w:t>2016 — 2018</w:t>
            </w:r>
          </w:p>
          <w:p>
            <w:pPr>
              <w:pStyle w:val="EntryMeta"/>
            </w:pPr>
            <w:r>
              <w:t>Monsoon Media House, Kolkata</w:t>
            </w:r>
          </w:p>
          <w:p>
            <w:pPr>
              <w:pStyle w:val="ResumeBullet"/>
            </w:pPr>
            <w:r>
              <w:t>Reported and wrote 200+ features on culture, food and city life.</w:t>
            </w:r>
          </w:p>
        </w:tc>
      </w:tr>
      <w:tr>
        <w:tc>
          <w:tcPr>
            <w:tcW w:type="dxa" w:w="226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  <w:pBdr>
                <w:left w:val="single" w:sz="36" w:space="6" w:color="E63946"/>
              </w:pBdr>
              <w:ind w:left="0" w:right="0"/>
            </w:pPr>
            <w:r>
              <w:t>Education</w:t>
            </w:r>
          </w:p>
        </w:tc>
        <w:tc>
          <w:tcPr>
            <w:tcW w:type="dxa" w:w="7597"/>
          </w:tcPr>
          <w:p>
            <w:pPr>
              <w:pStyle w:val="EntryTitle"/>
              <w:tabs>
                <w:tab w:pos="7597" w:val="right"/>
              </w:tabs>
              <w:spacing w:before="332"/>
            </w:pPr>
            <w:r>
              <w:t>M.A., English Literature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7A7A7A"/>
                <w:sz w:val="21"/>
                <w:szCs w:val="21"/>
              </w:rPr>
              <w:t>2014 — 2016</w:t>
            </w:r>
          </w:p>
          <w:p>
            <w:pPr>
              <w:pStyle w:val="EntryMeta"/>
            </w:pPr>
            <w:r>
              <w:t>Ganga Valley University</w:t>
            </w:r>
          </w:p>
          <w:p>
            <w:pPr>
              <w:pStyle w:val="EntryTitle"/>
              <w:tabs>
                <w:tab w:pos="7597" w:val="right"/>
              </w:tabs>
            </w:pPr>
            <w:r>
              <w:t>B.A., Journalism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7A7A7A"/>
                <w:sz w:val="21"/>
                <w:szCs w:val="21"/>
              </w:rPr>
              <w:t>2011 — 2014</w:t>
            </w:r>
          </w:p>
          <w:p>
            <w:pPr>
              <w:pStyle w:val="EntryMeta"/>
            </w:pPr>
            <w:r>
              <w:t>St. Aldwin's College</w:t>
            </w:r>
          </w:p>
        </w:tc>
      </w:tr>
      <w:tr>
        <w:tc>
          <w:tcPr>
            <w:tcW w:type="dxa" w:w="226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  <w:pBdr>
                <w:left w:val="single" w:sz="36" w:space="6" w:color="E63946"/>
              </w:pBdr>
              <w:ind w:left="0" w:right="0"/>
            </w:pPr>
            <w:r>
              <w:t>Skills</w:t>
            </w:r>
          </w:p>
        </w:tc>
        <w:tc>
          <w:tcPr>
            <w:tcW w:type="dxa" w:w="7597"/>
          </w:tcPr>
          <w:p>
            <w:pPr>
              <w:pStyle w:val="BodyText"/>
              <w:spacing w:before="332"/>
            </w:pPr>
            <w:r>
              <w:t>Content strategy</w:t>
            </w:r>
            <w:r>
              <w:rPr>
                <w:color w:val="E63946"/>
              </w:rPr>
              <w:t xml:space="preserve">   </w:t>
            </w:r>
            <w:r>
              <w:t>Long-form writing</w:t>
            </w:r>
            <w:r>
              <w:rPr>
                <w:color w:val="E63946"/>
              </w:rPr>
              <w:t xml:space="preserve">   </w:t>
            </w:r>
            <w:r>
              <w:t>UX writing</w:t>
            </w:r>
            <w:r>
              <w:rPr>
                <w:color w:val="E63946"/>
              </w:rPr>
              <w:t xml:space="preserve">   </w:t>
            </w:r>
            <w:r>
              <w:t>SEO</w:t>
            </w:r>
            <w:r>
              <w:rPr>
                <w:color w:val="E63946"/>
              </w:rPr>
              <w:t xml:space="preserve">   </w:t>
            </w:r>
            <w:r>
              <w:t>Editing</w:t>
            </w:r>
            <w:r>
              <w:rPr>
                <w:color w:val="E63946"/>
              </w:rPr>
              <w:t xml:space="preserve">   </w:t>
            </w:r>
            <w:r>
              <w:t>Brand voice</w:t>
            </w:r>
          </w:p>
        </w:tc>
      </w:tr>
      <w:tr>
        <w:tc>
          <w:tcPr>
            <w:tcW w:type="dxa" w:w="226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  <w:pBdr>
                <w:left w:val="single" w:sz="36" w:space="6" w:color="E63946"/>
              </w:pBdr>
              <w:ind w:left="0" w:right="0"/>
            </w:pPr>
            <w:r>
              <w:t>Tools</w:t>
            </w:r>
          </w:p>
        </w:tc>
        <w:tc>
          <w:tcPr>
            <w:tcW w:type="dxa" w:w="7597"/>
          </w:tcPr>
          <w:p>
            <w:pPr>
              <w:pStyle w:val="BodyText"/>
              <w:spacing w:before="332"/>
            </w:pPr>
            <w:r>
              <w:t>WordPress</w:t>
            </w:r>
            <w:r>
              <w:rPr>
                <w:color w:val="E63946"/>
              </w:rPr>
              <w:t xml:space="preserve">   </w:t>
            </w:r>
            <w:r>
              <w:t>Notion</w:t>
            </w:r>
            <w:r>
              <w:rPr>
                <w:color w:val="E63946"/>
              </w:rPr>
              <w:t xml:space="preserve">   </w:t>
            </w:r>
            <w:r>
              <w:t>Ahrefs</w:t>
            </w:r>
            <w:r>
              <w:rPr>
                <w:color w:val="E63946"/>
              </w:rPr>
              <w:t xml:space="preserve">   </w:t>
            </w:r>
            <w:r>
              <w:t>Google Docs</w:t>
            </w:r>
            <w:r>
              <w:rPr>
                <w:color w:val="E63946"/>
              </w:rPr>
              <w:t xml:space="preserve">   </w:t>
            </w:r>
            <w:r>
              <w:t>Figma (basics)</w:t>
            </w:r>
          </w:p>
        </w:tc>
      </w:tr>
      <w:tr>
        <w:tc>
          <w:tcPr>
            <w:tcW w:type="dxa" w:w="226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  <w:pBdr>
                <w:left w:val="single" w:sz="36" w:space="6" w:color="E63946"/>
              </w:pBdr>
              <w:ind w:left="0" w:right="0"/>
            </w:pPr>
            <w:r>
              <w:t>Awards</w:t>
            </w:r>
          </w:p>
        </w:tc>
        <w:tc>
          <w:tcPr>
            <w:tcW w:type="dxa" w:w="7597"/>
          </w:tcPr>
          <w:p>
            <w:pPr>
              <w:pStyle w:val="ResumeBullet"/>
              <w:spacing w:before="332"/>
            </w:pPr>
            <w:r>
              <w:t>Regional Ad Club Silver, 2020</w:t>
            </w:r>
          </w:p>
        </w:tc>
      </w:tr>
    </w:tbl>
    <w:sectPr w:rsidR="00FC693F" w:rsidRPr="0006063C" w:rsidSect="00034616">
      <w:pgSz w:w="11906" w:h="16838"/>
      <w:pgMar w:top="1020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E63946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E6394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Work Sans" w:hAnsi="Work Sans" w:eastAsia="Work Sans" w:cs="Work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54" w:lineRule="auto"/>
    </w:pPr>
    <w:rPr>
      <w:rFonts w:ascii="Work Sans" w:hAnsi="Work Sans" w:eastAsia="Work Sans" w:cs="Work Sans"/>
      <w:color w:val="222222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54" w:lineRule="auto"/>
    </w:pPr>
    <w:rPr>
      <w:rFonts w:ascii="Work Sans" w:hAnsi="Work Sans" w:eastAsia="Work Sans" w:cs="Work Sans"/>
      <w:b w:val="0"/>
      <w:i w:val="0"/>
      <w:caps w:val="0"/>
      <w:smallCaps w:val="0"/>
      <w:color w:val="222222"/>
      <w:sz w:val="21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6" w:lineRule="exact" w:line="920"/>
    </w:pPr>
    <w:rPr>
      <w:rFonts w:ascii="Work Sans" w:hAnsi="Work Sans" w:eastAsia="Work Sans" w:cs="Work Sans"/>
      <w:b/>
      <w:bCs/>
      <w:i w:val="0"/>
      <w:caps w:val="0"/>
      <w:smallCaps w:val="0"/>
      <w:color w:val="E63946"/>
      <w:spacing w:val="-36"/>
      <w:sz w:val="88"/>
      <w:szCs w:val="88"/>
    </w:rPr>
  </w:style>
  <w:style w:type="paragraph" w:customStyle="1" w:styleId="Role">
    <w:name w:val="Role"/>
    <w:basedOn w:val="Normal"/>
    <w:qFormat/>
    <w:pPr>
      <w:keepNext w:val="0"/>
      <w:widowControl/>
      <w:spacing w:before="0" w:after="110"/>
    </w:pPr>
    <w:rPr>
      <w:rFonts w:ascii="Work Sans" w:hAnsi="Work Sans" w:eastAsia="Work Sans" w:cs="Work Sans"/>
      <w:b w:val="0"/>
      <w:i w:val="0"/>
      <w:caps w:val="0"/>
      <w:smallCaps w:val="0"/>
      <w:color w:val="1D1D1D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Work Sans" w:hAnsi="Work Sans" w:eastAsia="Work Sans" w:cs="Work Sans"/>
      <w:b w:val="0"/>
      <w:i w:val="0"/>
      <w:caps w:val="0"/>
      <w:smallCaps w:val="0"/>
      <w:color w:val="7A7A7A"/>
      <w:sz w:val="19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332" w:after="138"/>
    </w:pPr>
    <w:rPr>
      <w:rFonts w:ascii="Work Sans" w:hAnsi="Work Sans" w:eastAsia="Work Sans" w:cs="Work Sans"/>
      <w:b/>
      <w:bCs/>
      <w:i w:val="0"/>
      <w:caps/>
      <w:smallCaps w:val="0"/>
      <w:color w:val="1D1D1D"/>
      <w:spacing w:val="3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54" w:lineRule="auto"/>
    </w:pPr>
    <w:rPr>
      <w:rFonts w:ascii="Work Sans" w:hAnsi="Work Sans" w:eastAsia="Work Sans" w:cs="Work Sans"/>
      <w:b w:val="0"/>
      <w:i w:val="0"/>
      <w:caps w:val="0"/>
      <w:smallCaps w:val="0"/>
      <w:color w:val="222222"/>
      <w:sz w:val="21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0" w:after="10"/>
    </w:pPr>
    <w:rPr>
      <w:rFonts w:ascii="Work Sans" w:hAnsi="Work Sans" w:eastAsia="Work Sans" w:cs="Work Sans"/>
      <w:b/>
      <w:bCs/>
      <w:i w:val="0"/>
      <w:caps w:val="0"/>
      <w:smallCaps w:val="0"/>
      <w:color w:val="222222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Work Sans" w:hAnsi="Work Sans" w:eastAsia="Work Sans" w:cs="Work Sans"/>
      <w:b w:val="0"/>
      <w:i w:val="0"/>
      <w:caps w:val="0"/>
      <w:smallCaps w:val="0"/>
      <w:color w:val="E63946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4" w:line="354" w:lineRule="auto"/>
      <w:ind w:left="295" w:hanging="272"/>
    </w:pPr>
    <w:rPr>
      <w:rFonts w:ascii="Work Sans" w:hAnsi="Work Sans" w:eastAsia="Work Sans" w:cs="Work Sans"/>
      <w:b w:val="0"/>
      <w:i w:val="0"/>
      <w:caps w:val="0"/>
      <w:smallCaps w:val="0"/>
      <w:color w:val="222222"/>
      <w:sz w:val="21"/>
      <w:szCs w:val="22"/>
    </w:rPr>
  </w:style>
  <w:style w:type="paragraph" w:customStyle="1" w:styleId="SideHeading">
    <w:name w:val="Side Heading"/>
    <w:basedOn w:val="Normal"/>
    <w:qFormat/>
    <w:pPr>
      <w:keepNext/>
      <w:widowControl/>
      <w:spacing w:before="332" w:after="138"/>
    </w:pPr>
    <w:rPr>
      <w:rFonts w:ascii="Work Sans" w:hAnsi="Work Sans" w:eastAsia="Work Sans" w:cs="Work Sans"/>
      <w:b/>
      <w:bCs/>
      <w:i w:val="0"/>
      <w:caps/>
      <w:smallCaps w:val="0"/>
      <w:color w:val="1D1D1D"/>
      <w:spacing w:val="30"/>
      <w:sz w:val="23"/>
      <w:szCs w:val="23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54" w:lineRule="auto"/>
    </w:pPr>
    <w:rPr>
      <w:rFonts w:ascii="Work Sans" w:hAnsi="Work Sans" w:eastAsia="Work Sans" w:cs="Work Sans"/>
      <w:b w:val="0"/>
      <w:i w:val="0"/>
      <w:caps w:val="0"/>
      <w:smallCaps w:val="0"/>
      <w:color w:val="222222"/>
      <w:sz w:val="21"/>
      <w:szCs w:val="22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Work Sans" w:hAnsi="Work Sans" w:eastAsia="Work Sans" w:cs="Work Sans"/>
      <w:b w:val="0"/>
      <w:i w:val="0"/>
      <w:caps/>
      <w:smallCaps w:val="0"/>
      <w:color w:val="7A7A7A"/>
      <w:spacing w:val="20"/>
      <w:sz w:val="20"/>
      <w:szCs w:val="21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4" w:line="354" w:lineRule="auto"/>
      <w:ind w:left="295" w:hanging="272"/>
    </w:pPr>
    <w:rPr>
      <w:rFonts w:ascii="Work Sans" w:hAnsi="Work Sans" w:eastAsia="Work Sans" w:cs="Work Sans"/>
      <w:b w:val="0"/>
      <w:i w:val="0"/>
      <w:caps w:val="0"/>
      <w:smallCaps w:val="0"/>
      <w:color w:val="222222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Tomato Swiss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