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67"/>
        <w:gridCol w:w="11339"/>
      </w:tblGrid>
      <w:tr>
        <w:trPr>
          <w:trHeight w:val="16804" w:hRule="atLeast"/>
        </w:trPr>
        <w:tc>
          <w:tcPr>
            <w:tcW w:type="dxa" w:w="567"/>
            <w:shd w:val="clear" w:color="auto" w:fill="D6246E"/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  <w:tc>
          <w:tcPr>
            <w:tcW w:type="dxa" w:w="11339"/>
            <w:shd w:val="clear" w:color="auto" w:fill="FFFFFF"/>
            <w:tcMar>
              <w:top w:w="1134" w:type="dxa"/>
              <w:left w:w="907" w:type="dxa"/>
              <w:bottom w:w="794" w:type="dxa"/>
              <w:right w:w="1134" w:type="dxa"/>
            </w:tcMar>
          </w:tcPr>
          <w:p>
            <w:pPr>
              <w:pStyle w:val="Name"/>
            </w:pPr>
            <w:r>
              <w:t>Priya Nair</w:t>
            </w:r>
          </w:p>
          <w:p>
            <w:pPr>
              <w:pStyle w:val="Role"/>
            </w:pPr>
            <w:r>
              <w:t>HR Business Partner</w:t>
            </w:r>
          </w:p>
          <w:p>
            <w:pPr>
              <w:pStyle w:val="Contact"/>
            </w:pPr>
            <w:r>
              <w:t>+91 94470 55667</w:t>
            </w:r>
            <w:r>
              <w:rPr>
                <w:color w:val="D6246E"/>
              </w:rPr>
              <w:t xml:space="preserve">  ◆  </w:t>
            </w:r>
            <w:r>
              <w:t>priya.nair@email.com</w:t>
            </w:r>
            <w:r>
              <w:rPr>
                <w:color w:val="D6246E"/>
              </w:rPr>
              <w:t xml:space="preserve">  ◆  </w:t>
            </w:r>
            <w:r>
              <w:t>Kochi, India</w:t>
            </w:r>
            <w:r>
              <w:rPr>
                <w:color w:val="D6246E"/>
              </w:rPr>
              <w:t xml:space="preserve">  ◆  </w:t>
            </w:r>
            <w:r>
              <w:t>linkedin.com/in/priyanair</w:t>
            </w:r>
          </w:p>
          <w:p>
            <w:pPr>
              <w:pStyle w:val="SectionHeading"/>
              <w:tabs>
                <w:tab w:pos="9298" w:val="right" w:leader="underscore"/>
              </w:tabs>
            </w:pPr>
            <w:r>
              <w:t>Profile</w:t>
            </w:r>
            <w:r>
              <w:t xml:space="preserve"> </w:t>
            </w:r>
            <w:r>
              <w:tab/>
            </w:r>
          </w:p>
          <w:p>
            <w:pPr>
              <w:pStyle w:val="Summary"/>
            </w:pPr>
            <w:r>
              <w:t>People leader with 9 years in talent acquisition, employee relations and culture building. I help growing teams hire well, grow managers and keep great people.</w:t>
            </w:r>
          </w:p>
          <w:p>
            <w:pPr>
              <w:pStyle w:val="SectionHeading"/>
              <w:tabs>
                <w:tab w:pos="9298" w:val="right" w:leader="underscore"/>
              </w:tabs>
            </w:pPr>
            <w:r>
              <w:t>Experience</w:t>
            </w:r>
            <w:r>
              <w:t xml:space="preserve"> </w:t>
            </w:r>
            <w:r>
              <w:tab/>
            </w:r>
          </w:p>
          <w:p>
            <w:pPr>
              <w:pStyle w:val="EntryTitle"/>
              <w:tabs>
                <w:tab w:pos="9298" w:val="right"/>
              </w:tabs>
            </w:pPr>
            <w:r>
              <w:t>HR Business Partner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86E72"/>
                <w:sz w:val="16"/>
                <w:szCs w:val="17"/>
              </w:rPr>
              <w:t>2020 — Present</w:t>
            </w:r>
          </w:p>
          <w:p>
            <w:pPr>
              <w:pStyle w:val="EntryMeta"/>
            </w:pPr>
            <w:r>
              <w:t>Tidewater Logistics, Kochi</w:t>
            </w:r>
          </w:p>
          <w:p>
            <w:pPr>
              <w:pStyle w:val="ResumeBullet"/>
            </w:pPr>
            <w:r>
              <w:t>Partner with leaders of a 900-person operations organisation.</w:t>
            </w:r>
          </w:p>
          <w:p>
            <w:pPr>
              <w:pStyle w:val="ResumeBullet"/>
            </w:pPr>
            <w:r>
              <w:t>Redesigned onboarding, improving 90-day retention from 71% to 88%.</w:t>
            </w:r>
          </w:p>
          <w:p>
            <w:pPr>
              <w:pStyle w:val="ResumeBullet"/>
            </w:pPr>
            <w:r>
              <w:t>Launched a first-time manager programme for 60 team leads.</w:t>
            </w:r>
          </w:p>
          <w:p>
            <w:pPr>
              <w:pStyle w:val="EntryTitle"/>
              <w:tabs>
                <w:tab w:pos="9298" w:val="right"/>
              </w:tabs>
            </w:pPr>
            <w:r>
              <w:t>Talent Acquisition Lead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86E72"/>
                <w:sz w:val="16"/>
                <w:szCs w:val="17"/>
              </w:rPr>
              <w:t>2017 — 2020</w:t>
            </w:r>
          </w:p>
          <w:p>
            <w:pPr>
              <w:pStyle w:val="EntryMeta"/>
            </w:pPr>
            <w:r>
              <w:t>Brightpath EdTech, Bengaluru</w:t>
            </w:r>
          </w:p>
          <w:p>
            <w:pPr>
              <w:pStyle w:val="ResumeBullet"/>
            </w:pPr>
            <w:r>
              <w:t>Scaled hiring from 80 to 450 employees in three years.</w:t>
            </w:r>
          </w:p>
          <w:p>
            <w:pPr>
              <w:pStyle w:val="ResumeBullet"/>
            </w:pPr>
            <w:r>
              <w:t>Built campus hiring partnerships with 25 colleges.</w:t>
            </w:r>
          </w:p>
          <w:p>
            <w:pPr>
              <w:pStyle w:val="EntryTitle"/>
              <w:tabs>
                <w:tab w:pos="9298" w:val="right"/>
              </w:tabs>
            </w:pPr>
            <w:r>
              <w:t>HR Executive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86E72"/>
                <w:sz w:val="16"/>
                <w:szCs w:val="17"/>
              </w:rPr>
              <w:t>2015 — 2017</w:t>
            </w:r>
          </w:p>
          <w:p>
            <w:pPr>
              <w:pStyle w:val="EntryMeta"/>
            </w:pPr>
            <w:r>
              <w:t>Riverstone Hospitals, Kochi</w:t>
            </w:r>
          </w:p>
          <w:p>
            <w:pPr>
              <w:pStyle w:val="ResumeBullet"/>
            </w:pPr>
            <w:r>
              <w:t>Managed payroll inputs, attendance and statutory compliance for 600 staff.</w:t>
            </w:r>
          </w:p>
          <w:p>
            <w:pPr>
              <w:pStyle w:val="SectionHeading"/>
              <w:tabs>
                <w:tab w:pos="9298" w:val="right" w:leader="underscore"/>
              </w:tabs>
            </w:pPr>
            <w:r>
              <w:t>Education</w:t>
            </w:r>
            <w:r>
              <w:t xml:space="preserve"> </w:t>
            </w:r>
            <w:r>
              <w:tab/>
            </w:r>
          </w:p>
          <w:p>
            <w:pPr>
              <w:pStyle w:val="EntryTitle"/>
              <w:tabs>
                <w:tab w:pos="9298" w:val="right"/>
              </w:tabs>
            </w:pPr>
            <w:r>
              <w:t>MBA, Human Resources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86E72"/>
                <w:sz w:val="16"/>
                <w:szCs w:val="17"/>
              </w:rPr>
              <w:t>2013 — 2015</w:t>
            </w:r>
          </w:p>
          <w:p>
            <w:pPr>
              <w:pStyle w:val="EntryMeta"/>
            </w:pPr>
            <w:r>
              <w:t>Sunrise Institute of Management</w:t>
            </w:r>
          </w:p>
          <w:p>
            <w:pPr>
              <w:pStyle w:val="EntryTitle"/>
              <w:tabs>
                <w:tab w:pos="9298" w:val="right"/>
              </w:tabs>
            </w:pPr>
            <w:r>
              <w:t>B.A., Psychology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86E72"/>
                <w:sz w:val="16"/>
                <w:szCs w:val="17"/>
              </w:rPr>
              <w:t>2010 — 2013</w:t>
            </w:r>
          </w:p>
          <w:p>
            <w:pPr>
              <w:pStyle w:val="EntryMeta"/>
            </w:pPr>
            <w:r>
              <w:t>St. Aldwin's College</w:t>
            </w:r>
          </w:p>
          <w:p>
            <w:pPr>
              <w:pStyle w:val="SectionHeading"/>
              <w:tabs>
                <w:tab w:pos="9298" w:val="right" w:leader="underscore"/>
              </w:tabs>
            </w:pPr>
            <w:r>
              <w:t>Skills</w:t>
            </w:r>
            <w:r>
              <w:t xml:space="preserve"> </w:t>
            </w:r>
            <w:r>
              <w:tab/>
            </w:r>
          </w:p>
          <w:p>
            <w:pPr>
              <w:pStyle w:val="BodyText"/>
              <w:spacing w:line="420" w:lineRule="auto"/>
            </w:pPr>
            <w:r>
              <w:rPr>
                <w:color w:val="9D174D"/>
                <w:sz w:val="15"/>
                <w:szCs w:val="16"/>
                <w:shd w:val="clear" w:color="auto" w:fill="FCE4EE"/>
              </w:rPr>
              <w:t xml:space="preserve"> Talent acquisition </w:t>
            </w:r>
            <w:r>
              <w:t xml:space="preserve">   </w:t>
            </w:r>
            <w:r>
              <w:rPr>
                <w:color w:val="9D174D"/>
                <w:sz w:val="15"/>
                <w:szCs w:val="16"/>
                <w:shd w:val="clear" w:color="auto" w:fill="FCE4EE"/>
              </w:rPr>
              <w:t xml:space="preserve"> Employee relations </w:t>
            </w:r>
            <w:r>
              <w:t xml:space="preserve">   </w:t>
            </w:r>
            <w:r>
              <w:rPr>
                <w:color w:val="9D174D"/>
                <w:sz w:val="15"/>
                <w:szCs w:val="16"/>
                <w:shd w:val="clear" w:color="auto" w:fill="FCE4EE"/>
              </w:rPr>
              <w:t xml:space="preserve"> Performance management </w:t>
            </w:r>
            <w:r>
              <w:t xml:space="preserve">   </w:t>
            </w:r>
            <w:r>
              <w:rPr>
                <w:color w:val="9D174D"/>
                <w:sz w:val="15"/>
                <w:szCs w:val="16"/>
                <w:shd w:val="clear" w:color="auto" w:fill="FCE4EE"/>
              </w:rPr>
              <w:t xml:space="preserve"> Learning &amp; development </w:t>
            </w:r>
            <w:r>
              <w:t xml:space="preserve">   </w:t>
            </w:r>
            <w:r>
              <w:rPr>
                <w:color w:val="9D174D"/>
                <w:sz w:val="15"/>
                <w:szCs w:val="16"/>
                <w:shd w:val="clear" w:color="auto" w:fill="FCE4EE"/>
              </w:rPr>
              <w:t xml:space="preserve"> HR analytics </w:t>
            </w:r>
            <w:r>
              <w:t xml:space="preserve">   </w:t>
            </w:r>
            <w:r>
              <w:rPr>
                <w:color w:val="9D174D"/>
                <w:sz w:val="15"/>
                <w:szCs w:val="16"/>
                <w:shd w:val="clear" w:color="auto" w:fill="FCE4EE"/>
              </w:rPr>
              <w:t xml:space="preserve"> Labour law compliance </w:t>
            </w:r>
            <w:r>
              <w:t xml:space="preserve">   </w:t>
            </w:r>
          </w:p>
          <w:p>
            <w:pPr>
              <w:pStyle w:val="SectionHeading"/>
              <w:tabs>
                <w:tab w:pos="9298" w:val="right" w:leader="underscore"/>
              </w:tabs>
            </w:pPr>
            <w:r>
              <w:t>Certifications</w:t>
            </w:r>
            <w:r>
              <w:t xml:space="preserve"> </w:t>
            </w:r>
            <w:r>
              <w:tab/>
            </w:r>
          </w:p>
          <w:p>
            <w:pPr>
              <w:pStyle w:val="ResumeBullet"/>
            </w:pPr>
            <w:r>
              <w:t>SHRM Certified Professional</w:t>
            </w:r>
          </w:p>
          <w:p>
            <w:pPr>
              <w:pStyle w:val="ResumeBullet"/>
            </w:pPr>
            <w:r>
              <w:t>POSH Trainer</w:t>
            </w:r>
          </w:p>
          <w:p>
            <w:pPr>
              <w:pStyle w:val="SectionHeading"/>
              <w:tabs>
                <w:tab w:pos="9298" w:val="right" w:leader="underscore"/>
              </w:tabs>
            </w:pPr>
            <w:r>
              <w:t>Languages</w:t>
            </w:r>
            <w:r>
              <w:t xml:space="preserve"> </w:t>
            </w:r>
            <w:r>
              <w:tab/>
            </w:r>
          </w:p>
          <w:p>
            <w:pPr>
              <w:pStyle w:val="BodyText"/>
            </w:pPr>
            <w:r>
              <w:t>English</w:t>
            </w:r>
            <w:r>
              <w:rPr>
                <w:color w:val="D6246E"/>
              </w:rPr>
              <w:t xml:space="preserve">  ◆  </w:t>
            </w:r>
            <w:r>
              <w:t>Malayalam</w:t>
            </w:r>
            <w:r>
              <w:rPr>
                <w:color w:val="D6246E"/>
              </w:rPr>
              <w:t xml:space="preserve">  ◆  </w:t>
            </w:r>
            <w:r>
              <w:t>Hindi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◆"/>
      <w:lvlJc w:val="left"/>
      <w:pPr>
        <w:ind w:left="295" w:hanging="272"/>
      </w:pPr>
      <w:rPr>
        <w:rFonts w:ascii="Segoe UI Symbol" w:hAnsi="Segoe UI Symbol" w:cs="Segoe UI Symbol" w:hint="default"/>
        <w:color w:val="D6246E"/>
        <w:sz w:val="12"/>
        <w:szCs w:val="12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◆"/>
      <w:lvlJc w:val="left"/>
      <w:pPr>
        <w:ind w:left="295" w:hanging="272"/>
      </w:pPr>
      <w:rPr>
        <w:rFonts w:ascii="Segoe UI Symbol" w:hAnsi="Segoe UI Symbol" w:cs="Segoe UI Symbol" w:hint="default"/>
        <w:color w:val="D6246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oppins" w:hAnsi="Poppins" w:eastAsia="Poppins" w:cs="Poppi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6" w:lineRule="auto"/>
    </w:pPr>
    <w:rPr>
      <w:rFonts w:ascii="Poppins" w:hAnsi="Poppins" w:eastAsia="Poppins" w:cs="Poppins"/>
      <w:color w:val="2B2528"/>
      <w:sz w:val="16"/>
      <w:szCs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6" w:lineRule="auto"/>
    </w:pPr>
    <w:rPr>
      <w:rFonts w:ascii="Poppins" w:hAnsi="Poppins" w:eastAsia="Poppins" w:cs="Poppins"/>
      <w:b w:val="0"/>
      <w:i w:val="0"/>
      <w:caps w:val="0"/>
      <w:smallCaps w:val="0"/>
      <w:color w:val="2B2528"/>
      <w:sz w:val="16"/>
      <w:szCs w:val="17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4" w:line="240" w:lineRule="auto"/>
    </w:pPr>
    <w:rPr>
      <w:rFonts w:ascii="Poppins" w:hAnsi="Poppins" w:eastAsia="Poppins" w:cs="Poppins"/>
      <w:b/>
      <w:bCs/>
      <w:i w:val="0"/>
      <w:caps w:val="0"/>
      <w:smallCaps w:val="0"/>
      <w:color w:val="D6246E"/>
      <w:spacing w:val="-20"/>
      <w:sz w:val="80"/>
      <w:szCs w:val="80"/>
    </w:rPr>
  </w:style>
  <w:style w:type="paragraph" w:customStyle="1" w:styleId="Role">
    <w:name w:val="Role"/>
    <w:basedOn w:val="Normal"/>
    <w:qFormat/>
    <w:pPr>
      <w:keepNext w:val="0"/>
      <w:widowControl/>
      <w:spacing w:before="0" w:after="68"/>
    </w:pPr>
    <w:rPr>
      <w:rFonts w:ascii="Poppins" w:hAnsi="Poppins" w:eastAsia="Poppins" w:cs="Poppins"/>
      <w:b w:val="0"/>
      <w:i w:val="0"/>
      <w:caps w:val="0"/>
      <w:smallCaps w:val="0"/>
      <w:color w:val="1F1A1C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Poppins" w:hAnsi="Poppins" w:eastAsia="Poppins" w:cs="Poppins"/>
      <w:b w:val="0"/>
      <w:i w:val="0"/>
      <w:caps w:val="0"/>
      <w:smallCaps w:val="0"/>
      <w:color w:val="786E72"/>
      <w:sz w:val="15"/>
      <w:szCs w:val="16"/>
    </w:rPr>
  </w:style>
  <w:style w:type="paragraph" w:customStyle="1" w:styleId="SectionHeading">
    <w:name w:val="Section Heading"/>
    <w:basedOn w:val="Normal"/>
    <w:qFormat/>
    <w:pPr>
      <w:keepNext/>
      <w:widowControl/>
      <w:spacing w:before="204" w:after="84"/>
    </w:pPr>
    <w:rPr>
      <w:rFonts w:ascii="Poppins" w:hAnsi="Poppins" w:eastAsia="Poppins" w:cs="Poppins"/>
      <w:b/>
      <w:bCs/>
      <w:i w:val="0"/>
      <w:caps/>
      <w:smallCaps w:val="0"/>
      <w:color w:val="1F1A1C"/>
      <w:spacing w:val="30"/>
      <w:sz w:val="21"/>
      <w:szCs w:val="2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6" w:lineRule="auto"/>
    </w:pPr>
    <w:rPr>
      <w:rFonts w:ascii="Poppins" w:hAnsi="Poppins" w:eastAsia="Poppins" w:cs="Poppins"/>
      <w:b w:val="0"/>
      <w:i w:val="0"/>
      <w:caps w:val="0"/>
      <w:smallCaps w:val="0"/>
      <w:color w:val="2B2528"/>
      <w:sz w:val="16"/>
      <w:szCs w:val="17"/>
    </w:rPr>
  </w:style>
  <w:style w:type="paragraph" w:customStyle="1" w:styleId="EntryTitle">
    <w:name w:val="Entry Title"/>
    <w:basedOn w:val="Normal"/>
    <w:qFormat/>
    <w:pPr>
      <w:keepNext/>
      <w:widowControl/>
      <w:spacing w:before="84" w:after="10"/>
    </w:pPr>
    <w:rPr>
      <w:rFonts w:ascii="Poppins" w:hAnsi="Poppins" w:eastAsia="Poppins" w:cs="Poppins"/>
      <w:b/>
      <w:bCs/>
      <w:i w:val="0"/>
      <w:caps w:val="0"/>
      <w:smallCaps w:val="0"/>
      <w:color w:val="2B2528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Poppins" w:hAnsi="Poppins" w:eastAsia="Poppins" w:cs="Poppins"/>
      <w:b w:val="0"/>
      <w:i w:val="0"/>
      <w:caps w:val="0"/>
      <w:smallCaps w:val="0"/>
      <w:color w:val="D6246E"/>
      <w:sz w:val="16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96" w:lineRule="auto"/>
      <w:ind w:left="295" w:hanging="272"/>
    </w:pPr>
    <w:rPr>
      <w:rFonts w:ascii="Poppins" w:hAnsi="Poppins" w:eastAsia="Poppins" w:cs="Poppins"/>
      <w:b w:val="0"/>
      <w:i w:val="0"/>
      <w:caps w:val="0"/>
      <w:smallCaps w:val="0"/>
      <w:color w:val="2B2528"/>
      <w:sz w:val="16"/>
      <w:szCs w:val="17"/>
    </w:rPr>
  </w:style>
  <w:style w:type="paragraph" w:customStyle="1" w:styleId="SideHeading">
    <w:name w:val="Side Heading"/>
    <w:basedOn w:val="Normal"/>
    <w:qFormat/>
    <w:pPr>
      <w:keepNext/>
      <w:widowControl/>
      <w:spacing w:before="204" w:after="84"/>
    </w:pPr>
    <w:rPr>
      <w:rFonts w:ascii="Poppins" w:hAnsi="Poppins" w:eastAsia="Poppins" w:cs="Poppins"/>
      <w:b/>
      <w:bCs/>
      <w:i w:val="0"/>
      <w:caps/>
      <w:smallCaps w:val="0"/>
      <w:color w:val="1F1A1C"/>
      <w:spacing w:val="30"/>
      <w:sz w:val="21"/>
      <w:szCs w:val="21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96" w:lineRule="auto"/>
    </w:pPr>
    <w:rPr>
      <w:rFonts w:ascii="Poppins" w:hAnsi="Poppins" w:eastAsia="Poppins" w:cs="Poppins"/>
      <w:b w:val="0"/>
      <w:i w:val="0"/>
      <w:caps w:val="0"/>
      <w:smallCaps w:val="0"/>
      <w:color w:val="2B2528"/>
      <w:sz w:val="16"/>
      <w:szCs w:val="17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Poppins" w:hAnsi="Poppins" w:eastAsia="Poppins" w:cs="Poppins"/>
      <w:b w:val="0"/>
      <w:i w:val="0"/>
      <w:caps/>
      <w:smallCaps w:val="0"/>
      <w:color w:val="786E72"/>
      <w:spacing w:val="20"/>
      <w:sz w:val="15"/>
      <w:szCs w:val="16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0" w:line="296" w:lineRule="auto"/>
      <w:ind w:left="295" w:hanging="272"/>
    </w:pPr>
    <w:rPr>
      <w:rFonts w:ascii="Poppins" w:hAnsi="Poppins" w:eastAsia="Poppins" w:cs="Poppins"/>
      <w:b w:val="0"/>
      <w:i w:val="0"/>
      <w:caps w:val="0"/>
      <w:smallCaps w:val="0"/>
      <w:color w:val="2B2528"/>
      <w:sz w:val="16"/>
      <w:szCs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Magenta Edge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