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1F2937"/>
            <w:tcMar>
              <w:top w:w="1134" w:type="dxa"/>
              <w:left w:w="680" w:type="dxa"/>
              <w:bottom w:w="794" w:type="dxa"/>
              <w:right w:w="567" w:type="dxa"/>
            </w:tcMar>
          </w:tcPr>
          <w:p>
            <w:pPr>
              <w:pStyle w:val="Name"/>
              <w:spacing w:after="0"/>
            </w:pPr>
            <w:r>
              <w:t>Ananya</w:t>
            </w:r>
          </w:p>
          <w:p>
            <w:pPr>
              <w:pStyle w:val="Name"/>
            </w:pPr>
            <w:r>
              <w:rPr>
                <w:b/>
                <w:bCs/>
                <w:color w:val="F472B6"/>
              </w:rPr>
              <w:t>Sharma</w:t>
            </w:r>
          </w:p>
          <w:p>
            <w:pPr>
              <w:pStyle w:val="Role"/>
            </w:pPr>
            <w:r>
              <w:t>Marketing Manager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+91 98110 22334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ananya.sharma@email.com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Gurugram,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linkedin.com/in/ananyasharma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Brand strategy</w:t>
            </w:r>
          </w:p>
          <w:p>
            <w:pPr>
              <w:pStyle w:val="SideText"/>
              <w:spacing w:after="40"/>
            </w:pPr>
            <w:r>
              <w:t>Performance marketing</w:t>
            </w:r>
          </w:p>
          <w:p>
            <w:pPr>
              <w:pStyle w:val="SideText"/>
              <w:spacing w:after="40"/>
            </w:pPr>
            <w:r>
              <w:t>CRM &amp; loyalty</w:t>
            </w:r>
          </w:p>
          <w:p>
            <w:pPr>
              <w:pStyle w:val="SideText"/>
              <w:spacing w:after="40"/>
            </w:pPr>
            <w:r>
              <w:t>Budget planning</w:t>
            </w:r>
          </w:p>
          <w:p>
            <w:pPr>
              <w:pStyle w:val="SideText"/>
              <w:spacing w:after="40"/>
            </w:pPr>
            <w:r>
              <w:t>Agency management</w:t>
            </w:r>
          </w:p>
          <w:p>
            <w:pPr>
              <w:pStyle w:val="SideText"/>
              <w:spacing w:after="40"/>
            </w:pPr>
            <w:r>
              <w:t>Market research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Google Ads</w:t>
            </w:r>
          </w:p>
          <w:p>
            <w:pPr>
              <w:pStyle w:val="SideText"/>
              <w:spacing w:after="40"/>
            </w:pPr>
            <w:r>
              <w:t>Meta Ads Manager</w:t>
            </w:r>
          </w:p>
          <w:p>
            <w:pPr>
              <w:pStyle w:val="SideText"/>
              <w:spacing w:after="40"/>
            </w:pPr>
            <w:r>
              <w:t>HubSpot</w:t>
            </w:r>
          </w:p>
          <w:p>
            <w:pPr>
              <w:pStyle w:val="SideText"/>
              <w:spacing w:after="40"/>
            </w:pPr>
            <w:r>
              <w:t>GA4</w:t>
            </w:r>
          </w:p>
          <w:p>
            <w:pPr>
              <w:pStyle w:val="SideText"/>
              <w:spacing w:after="40"/>
            </w:pPr>
            <w:r>
              <w:t>Canva</w:t>
            </w:r>
          </w:p>
          <w:p>
            <w:pPr>
              <w:pStyle w:val="SideText"/>
              <w:spacing w:after="40"/>
            </w:pPr>
            <w:r>
              <w:t>Excel</w:t>
            </w:r>
          </w:p>
        </w:tc>
        <w:tc>
          <w:tcPr>
            <w:tcW w:type="dxa" w:w="7937"/>
            <w:shd w:val="clear" w:color="auto" w:fill="FFFFFF"/>
            <w:tcMar>
              <w:top w:w="1134" w:type="dxa"/>
              <w:left w:w="680" w:type="dxa"/>
              <w:bottom w:w="794" w:type="dxa"/>
              <w:right w:w="794" w:type="dxa"/>
            </w:tcMar>
          </w:tcPr>
          <w:p>
            <w:pPr>
              <w:pStyle w:val="SectionHeading"/>
              <w:pBdr>
                <w:bottom w:val="single" w:sz="6" w:space="3" w:color="E5E7EB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Brand and growth marketer with 8 years across D2C and hospitality. I build campaigns from insight to execution, manage budgets with discipline and love a good creative brief.</w:t>
            </w:r>
          </w:p>
          <w:p>
            <w:pPr>
              <w:pStyle w:val="SectionHeading"/>
              <w:pBdr>
                <w:bottom w:val="single" w:sz="6" w:space="3" w:color="E5E7EB"/>
              </w:pBdr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Marketing Manager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Halcyon Hotels &amp; Resorts, Gurugram</w:t>
            </w:r>
          </w:p>
          <w:p>
            <w:pPr>
              <w:pStyle w:val="ResumeBullet"/>
            </w:pPr>
            <w:r>
              <w:t>Run a ₹4 crore annual marketing budget across 12 properties.</w:t>
            </w:r>
          </w:p>
          <w:p>
            <w:pPr>
              <w:pStyle w:val="ResumeBullet"/>
            </w:pPr>
            <w:r>
              <w:t>Launched a loyalty programme that reached 85,000 members in its first year.</w:t>
            </w:r>
          </w:p>
          <w:p>
            <w:pPr>
              <w:pStyle w:val="ResumeBullet"/>
            </w:pPr>
            <w:r>
              <w:t>Grew direct bookings from 31% to 46% of revenue through search and CRM.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Senior Brand Executive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2018 — 2021</w:t>
            </w:r>
          </w:p>
          <w:p>
            <w:pPr>
              <w:pStyle w:val="EntryMeta"/>
            </w:pPr>
            <w:r>
              <w:t>Saffronleaf Foods, New Delhi</w:t>
            </w:r>
          </w:p>
          <w:p>
            <w:pPr>
              <w:pStyle w:val="ResumeBullet"/>
            </w:pPr>
            <w:r>
              <w:t>Led the relaunch of a packaged-snacks range across 9 states.</w:t>
            </w:r>
          </w:p>
          <w:p>
            <w:pPr>
              <w:pStyle w:val="ResumeBullet"/>
            </w:pPr>
            <w:r>
              <w:t>Managed agencies for TV, digital and in-store campaigns.</w:t>
            </w:r>
          </w:p>
          <w:p>
            <w:pPr>
              <w:pStyle w:val="ResumeBullet"/>
            </w:pPr>
            <w:r>
              <w:t>Built a creator programme with 120 regional food creators.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Marketing Associate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2016 — 2018</w:t>
            </w:r>
          </w:p>
          <w:p>
            <w:pPr>
              <w:pStyle w:val="EntryMeta"/>
            </w:pPr>
            <w:r>
              <w:t>Pinecrest Retail, Noida</w:t>
            </w:r>
          </w:p>
          <w:p>
            <w:pPr>
              <w:pStyle w:val="ResumeBullet"/>
            </w:pPr>
            <w:r>
              <w:t>Planned seasonal sale campaigns and in-store promotions for 40 stores.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Marketing Intern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2015</w:t>
            </w:r>
          </w:p>
          <w:p>
            <w:pPr>
              <w:pStyle w:val="EntryMeta"/>
            </w:pPr>
            <w:r>
              <w:t>Monsoon Media House, New Delhi</w:t>
            </w:r>
          </w:p>
          <w:p>
            <w:pPr>
              <w:pStyle w:val="ResumeBullet"/>
            </w:pPr>
            <w:r>
              <w:t>Supported event marketing and social media for a city festival.</w:t>
            </w:r>
          </w:p>
        </w:tc>
      </w:tr>
    </w:tbl>
    <w:p>
      <w:pPr>
        <w:spacing w:lineRule="exact" w:line="20" w:after="0" w:before="0"/>
      </w:pPr>
      <w:r>
        <w:rPr>
          <w:sz w:val="2"/>
          <w:szCs w:val="2"/>
        </w:rPr>
        <w:br w:type="page"/>
      </w:r>
    </w:p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1F2937"/>
            <w:tcMar>
              <w:top w:w="1134" w:type="dxa"/>
              <w:left w:w="680" w:type="dxa"/>
              <w:bottom w:w="794" w:type="dxa"/>
              <w:right w:w="567" w:type="dxa"/>
            </w:tcMar>
          </w:tcPr>
          <w:p>
            <w:pPr>
              <w:pStyle w:val="SideHeading"/>
              <w:pBdr>
                <w:bottom w:val="single" w:sz="6" w:space="3" w:color="E5E7EB"/>
              </w:pBdr>
              <w:spacing w:before="0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Punjabi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Digital Marketing Strategy</w:t>
            </w:r>
          </w:p>
          <w:p>
            <w:pPr>
              <w:pStyle w:val="SideBullet"/>
            </w:pPr>
            <w:r>
              <w:t>Google Ads Search Certification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Awards</w:t>
            </w:r>
          </w:p>
          <w:p>
            <w:pPr>
              <w:pStyle w:val="SideBullet"/>
            </w:pPr>
            <w:r>
              <w:t>Halcyon Leadership Award, 2023</w:t>
            </w:r>
          </w:p>
          <w:p>
            <w:pPr>
              <w:pStyle w:val="SideHeading"/>
              <w:pBdr>
                <w:bottom w:val="single" w:sz="6" w:space="3" w:color="E5E7EB"/>
              </w:pBdr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Kathak</w:t>
            </w:r>
          </w:p>
          <w:p>
            <w:pPr>
              <w:pStyle w:val="SideText"/>
              <w:spacing w:after="40"/>
            </w:pPr>
            <w:r>
              <w:t>Travel writing</w:t>
            </w:r>
          </w:p>
          <w:p>
            <w:pPr>
              <w:pStyle w:val="SideText"/>
              <w:spacing w:after="40"/>
            </w:pPr>
            <w:r>
              <w:t>Food walks</w:t>
            </w:r>
          </w:p>
        </w:tc>
        <w:tc>
          <w:tcPr>
            <w:tcW w:type="dxa" w:w="7937"/>
            <w:shd w:val="clear" w:color="auto" w:fill="FFFFFF"/>
            <w:tcMar>
              <w:top w:w="1134" w:type="dxa"/>
              <w:left w:w="680" w:type="dxa"/>
              <w:bottom w:w="794" w:type="dxa"/>
              <w:right w:w="794" w:type="dxa"/>
            </w:tcMar>
          </w:tcPr>
          <w:p>
            <w:pPr>
              <w:pStyle w:val="SectionHeading"/>
              <w:pBdr>
                <w:bottom w:val="single" w:sz="6" w:space="3" w:color="E5E7EB"/>
              </w:pBdr>
              <w:spacing w:before="0"/>
            </w:pPr>
            <w:r>
              <w:t>Projects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Monsoon getaway campaign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2023</w:t>
            </w:r>
          </w:p>
          <w:p>
            <w:pPr>
              <w:pStyle w:val="EntryMeta"/>
            </w:pPr>
            <w:r>
              <w:t>Integrated</w:t>
            </w:r>
          </w:p>
          <w:p>
            <w:pPr>
              <w:pStyle w:val="ResumeBullet"/>
            </w:pPr>
            <w:r>
              <w:t>Search, social and CRM campaign that filled 92% of rooms in the off-season.</w:t>
            </w:r>
          </w:p>
          <w:p>
            <w:pPr>
              <w:pStyle w:val="ResumeBullet"/>
            </w:pPr>
            <w:r>
              <w:t>Won the group's internal campaign award.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Brand refresh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2022</w:t>
            </w:r>
          </w:p>
          <w:p>
            <w:pPr>
              <w:pStyle w:val="EntryMeta"/>
            </w:pPr>
            <w:r>
              <w:t>Agency lead</w:t>
            </w:r>
          </w:p>
          <w:p>
            <w:pPr>
              <w:pStyle w:val="ResumeBullet"/>
            </w:pPr>
            <w:r>
              <w:t>Led a refresh of logo, tone and photography across 12 properties.</w:t>
            </w:r>
          </w:p>
          <w:p>
            <w:pPr>
              <w:pStyle w:val="SectionHeading"/>
              <w:pBdr>
                <w:bottom w:val="single" w:sz="6" w:space="3" w:color="E5E7EB"/>
              </w:pBdr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MBA, Marketing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2014 — 2016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BBA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6B7280"/>
                <w:sz w:val="20"/>
                <w:szCs w:val="20"/>
              </w:rPr>
              <w:t>2011 — 2014</w:t>
            </w:r>
          </w:p>
          <w:p>
            <w:pPr>
              <w:pStyle w:val="EntryMeta"/>
            </w:pPr>
            <w:r>
              <w:t>Aravali College of Commerce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DB2777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F472B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Work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56" w:lineRule="auto"/>
    </w:pPr>
    <w:rPr>
      <w:rFonts w:ascii="Work Sans" w:hAnsi="Work Sans" w:eastAsia="Work Sans" w:cs="Work Sans"/>
      <w:color w:val="1F293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56" w:lineRule="auto"/>
    </w:pPr>
    <w:rPr>
      <w:rFonts w:ascii="Work Sans" w:hAnsi="Work Sans" w:eastAsia="Work Sans" w:cs="Work Sans"/>
      <w:b w:val="0"/>
      <w:i w:val="0"/>
      <w:caps w:val="0"/>
      <w:smallCaps w:val="0"/>
      <w:color w:val="1F2937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Work Sans" w:hAnsi="Work Sans" w:eastAsia="Work Sans" w:cs="Work Sans"/>
      <w:b/>
      <w:bCs/>
      <w:i w:val="0"/>
      <w:caps w:val="0"/>
      <w:smallCaps w:val="0"/>
      <w:color w:val="FFFFFF"/>
      <w:sz w:val="56"/>
      <w:szCs w:val="56"/>
    </w:rPr>
  </w:style>
  <w:style w:type="paragraph" w:customStyle="1" w:styleId="Role">
    <w:name w:val="Role"/>
    <w:basedOn w:val="Normal"/>
    <w:qFormat/>
    <w:pPr>
      <w:keepNext w:val="0"/>
      <w:widowControl/>
      <w:spacing w:before="0" w:after="256"/>
    </w:pPr>
    <w:rPr>
      <w:rFonts w:ascii="Work Sans" w:hAnsi="Work Sans" w:eastAsia="Work Sans" w:cs="Work Sans"/>
      <w:b w:val="0"/>
      <w:i w:val="0"/>
      <w:caps w:val="0"/>
      <w:smallCaps w:val="0"/>
      <w:color w:val="E5E7EB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Work Sans" w:hAnsi="Work Sans" w:eastAsia="Work Sans" w:cs="Work Sans"/>
      <w:b w:val="0"/>
      <w:i w:val="0"/>
      <w:caps w:val="0"/>
      <w:smallCaps w:val="0"/>
      <w:color w:val="6B7280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410" w:after="128"/>
    </w:pPr>
    <w:rPr>
      <w:rFonts w:ascii="Work Sans" w:hAnsi="Work Sans" w:eastAsia="Work Sans" w:cs="Work Sans"/>
      <w:b/>
      <w:bCs/>
      <w:i w:val="0"/>
      <w:caps/>
      <w:smallCaps w:val="0"/>
      <w:color w:val="1F2937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56" w:lineRule="auto"/>
    </w:pPr>
    <w:rPr>
      <w:rFonts w:ascii="Work Sans" w:hAnsi="Work Sans" w:eastAsia="Work Sans" w:cs="Work Sans"/>
      <w:b w:val="0"/>
      <w:i w:val="0"/>
      <w:caps w:val="0"/>
      <w:smallCaps w:val="0"/>
      <w:color w:val="1F2937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28" w:after="10"/>
    </w:pPr>
    <w:rPr>
      <w:rFonts w:ascii="Work Sans" w:hAnsi="Work Sans" w:eastAsia="Work Sans" w:cs="Work Sans"/>
      <w:b/>
      <w:bCs/>
      <w:i w:val="0"/>
      <w:caps w:val="0"/>
      <w:smallCaps w:val="0"/>
      <w:color w:val="1F2937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Work Sans" w:hAnsi="Work Sans" w:eastAsia="Work Sans" w:cs="Work Sans"/>
      <w:b w:val="0"/>
      <w:i w:val="0"/>
      <w:caps w:val="0"/>
      <w:smallCaps w:val="0"/>
      <w:color w:val="DB2777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56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1F2937"/>
      <w:sz w:val="22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410" w:after="128"/>
    </w:pPr>
    <w:rPr>
      <w:rFonts w:ascii="Work Sans" w:hAnsi="Work Sans" w:eastAsia="Work Sans" w:cs="Work Sans"/>
      <w:b/>
      <w:bCs/>
      <w:i w:val="0"/>
      <w:caps/>
      <w:smallCaps w:val="0"/>
      <w:color w:val="F472B6"/>
      <w:spacing w:val="4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56" w:lineRule="auto"/>
    </w:pPr>
    <w:rPr>
      <w:rFonts w:ascii="Work Sans" w:hAnsi="Work Sans" w:eastAsia="Work Sans" w:cs="Work Sans"/>
      <w:b w:val="0"/>
      <w:i w:val="0"/>
      <w:caps w:val="0"/>
      <w:smallCaps w:val="0"/>
      <w:color w:val="E5E7EB"/>
      <w:sz w:val="22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Work Sans" w:hAnsi="Work Sans" w:eastAsia="Work Sans" w:cs="Work Sans"/>
      <w:b w:val="0"/>
      <w:i w:val="0"/>
      <w:caps/>
      <w:smallCaps w:val="0"/>
      <w:color w:val="9CA3AF"/>
      <w:spacing w:val="20"/>
      <w:sz w:val="21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56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E5E7EB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Duo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