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jc w:val="center"/>
      </w:pPr>
      <w:r>
        <w:t>Aditi Joshi</w:t>
      </w:r>
    </w:p>
    <w:p>
      <w:pPr>
        <w:pStyle w:val="Role"/>
        <w:jc w:val="center"/>
      </w:pPr>
      <w:r>
        <w:t>Corporate Lawyer</w:t>
      </w:r>
    </w:p>
    <w:p>
      <w:pPr>
        <w:pStyle w:val="Contact"/>
      </w:pPr>
      <w:r>
        <w:t>+91 98190 80910</w:t>
      </w:r>
      <w:r>
        <w:rPr>
          <w:color w:val="333333"/>
        </w:rPr>
        <w:t xml:space="preserve">  |  </w:t>
      </w:r>
      <w:r>
        <w:t>aditi.joshi@email.com</w:t>
      </w:r>
      <w:r>
        <w:rPr>
          <w:color w:val="333333"/>
        </w:rPr>
        <w:t xml:space="preserve">  |  </w:t>
      </w:r>
      <w:r>
        <w:t>Mumbai, India</w:t>
      </w:r>
      <w:r>
        <w:rPr>
          <w:color w:val="333333"/>
        </w:rPr>
        <w:t xml:space="preserve">  |  </w:t>
      </w:r>
      <w:r>
        <w:t>linkedin.com/in/aditijoshi</w:t>
      </w:r>
    </w:p>
    <w:p>
      <w:pPr>
        <w:pStyle w:val="SectionHeading"/>
        <w:pBdr>
          <w:bottom w:val="single" w:sz="6" w:space="3" w:color="000000"/>
        </w:pBdr>
      </w:pPr>
      <w:r>
        <w:t>Profile</w:t>
      </w:r>
    </w:p>
    <w:p>
      <w:pPr>
        <w:pStyle w:val="Summary"/>
      </w:pPr>
      <w:r>
        <w:t>Corporate lawyer with 6 years advising on M&amp;A, private equity and commercial contracts. Precise drafter, practical negotiator and trusted by founders and boards to get deals done.</w:t>
      </w:r>
    </w:p>
    <w:p>
      <w:pPr>
        <w:pStyle w:val="SectionHeading"/>
        <w:pBdr>
          <w:bottom w:val="single" w:sz="6" w:space="3" w:color="000000"/>
        </w:pBdr>
      </w:pPr>
      <w:r>
        <w:t>Experience</w:t>
      </w:r>
    </w:p>
    <w:p>
      <w:pPr>
        <w:pStyle w:val="EntryTitle"/>
        <w:tabs>
          <w:tab w:pos="9638" w:val="right"/>
        </w:tabs>
      </w:pPr>
      <w:r>
        <w:t>Vantage Point Legal</w:t>
      </w:r>
      <w:r>
        <w:tab/>
      </w:r>
      <w:r>
        <w:rPr>
          <w:rFonts w:ascii="Calibri" w:hAnsi="Calibri" w:eastAsia="Calibri" w:cs="Calibri"/>
          <w:b w:val="0"/>
          <w:color w:val="333333"/>
          <w:sz w:val="20"/>
          <w:szCs w:val="20"/>
        </w:rPr>
        <w:t>Mumbai</w:t>
      </w:r>
    </w:p>
    <w:p>
      <w:pPr>
        <w:pStyle w:val="EntryMeta"/>
        <w:tabs>
          <w:tab w:pos="9638" w:val="right"/>
        </w:tabs>
      </w:pPr>
      <w:r>
        <w:t>Senior Associate</w:t>
      </w:r>
      <w:r>
        <w:tab/>
      </w:r>
      <w:r>
        <w:rPr>
          <w:i w:val="0"/>
          <w:color w:val="333333"/>
        </w:rPr>
        <w:t>2021 — Present</w:t>
      </w:r>
    </w:p>
    <w:p>
      <w:pPr>
        <w:pStyle w:val="ResumeBullet"/>
      </w:pPr>
      <w:r>
        <w:t>Advise on mergers, acquisitions and investments across tech and healthcare.</w:t>
      </w:r>
    </w:p>
    <w:p>
      <w:pPr>
        <w:pStyle w:val="ResumeBullet"/>
      </w:pPr>
      <w:r>
        <w:t>Led due diligence and documentation for 15 transactions.</w:t>
      </w:r>
    </w:p>
    <w:p>
      <w:pPr>
        <w:pStyle w:val="ResumeBullet"/>
      </w:pPr>
      <w:r>
        <w:t>Draft and negotiate shareholder, share purchase and joint-venture agreements.</w:t>
      </w:r>
    </w:p>
    <w:p>
      <w:pPr>
        <w:pStyle w:val="EntryTitle"/>
        <w:tabs>
          <w:tab w:pos="9638" w:val="right"/>
        </w:tabs>
      </w:pPr>
      <w:r>
        <w:t>Indus Ledger Legal</w:t>
      </w:r>
      <w:r>
        <w:tab/>
      </w:r>
      <w:r>
        <w:rPr>
          <w:rFonts w:ascii="Calibri" w:hAnsi="Calibri" w:eastAsia="Calibri" w:cs="Calibri"/>
          <w:b w:val="0"/>
          <w:color w:val="333333"/>
          <w:sz w:val="20"/>
          <w:szCs w:val="20"/>
        </w:rPr>
        <w:t>Mumbai</w:t>
      </w:r>
    </w:p>
    <w:p>
      <w:pPr>
        <w:pStyle w:val="EntryMeta"/>
        <w:tabs>
          <w:tab w:pos="9638" w:val="right"/>
        </w:tabs>
      </w:pPr>
      <w:r>
        <w:t>Associate</w:t>
      </w:r>
      <w:r>
        <w:tab/>
      </w:r>
      <w:r>
        <w:rPr>
          <w:i w:val="0"/>
          <w:color w:val="333333"/>
        </w:rPr>
        <w:t>2018 — 2021</w:t>
      </w:r>
    </w:p>
    <w:p>
      <w:pPr>
        <w:pStyle w:val="ResumeBullet"/>
      </w:pPr>
      <w:r>
        <w:t>Drafted commercial contracts and handled regulatory filings.</w:t>
      </w:r>
    </w:p>
    <w:p>
      <w:pPr>
        <w:pStyle w:val="ResumeBullet"/>
      </w:pPr>
      <w:r>
        <w:t>Supported startup clients on fundraising and ESOP structuring.</w:t>
      </w:r>
    </w:p>
    <w:p>
      <w:pPr>
        <w:pStyle w:val="SectionHeading"/>
        <w:pBdr>
          <w:bottom w:val="single" w:sz="6" w:space="3" w:color="000000"/>
        </w:pBdr>
      </w:pPr>
      <w:r>
        <w:t>Education</w:t>
      </w:r>
    </w:p>
    <w:p>
      <w:pPr>
        <w:pStyle w:val="EntryTitle"/>
        <w:tabs>
          <w:tab w:pos="9638" w:val="right"/>
        </w:tabs>
      </w:pPr>
      <w:r>
        <w:t>Deccan Valley University</w:t>
      </w:r>
      <w:r>
        <w:tab/>
      </w:r>
      <w:r>
        <w:rPr>
          <w:rFonts w:ascii="Calibri" w:hAnsi="Calibri" w:eastAsia="Calibri" w:cs="Calibri"/>
          <w:b w:val="0"/>
          <w:color w:val="333333"/>
          <w:sz w:val="20"/>
          <w:szCs w:val="20"/>
        </w:rPr>
      </w:r>
    </w:p>
    <w:p>
      <w:pPr>
        <w:pStyle w:val="EntryMeta"/>
        <w:tabs>
          <w:tab w:pos="9638" w:val="right"/>
        </w:tabs>
      </w:pPr>
      <w:r>
        <w:t>B.A. LL.B. (Hons.)</w:t>
      </w:r>
      <w:r>
        <w:tab/>
      </w:r>
      <w:r>
        <w:rPr>
          <w:i w:val="0"/>
          <w:color w:val="333333"/>
        </w:rPr>
        <w:t>2013 — 2018</w:t>
      </w:r>
      <w:r>
        <w:t xml:space="preserve">  |  Moot court semi-finalist</w:t>
      </w:r>
    </w:p>
    <w:p>
      <w:pPr>
        <w:pStyle w:val="SectionHeading"/>
        <w:pBdr>
          <w:bottom w:val="single" w:sz="6" w:space="3" w:color="000000"/>
        </w:pBdr>
      </w:pPr>
      <w:r>
        <w:t>Practice Areas</w:t>
      </w:r>
    </w:p>
    <w:p>
      <w:pPr>
        <w:pStyle w:val="BodyText"/>
      </w:pPr>
      <w:r>
        <w:t>M&amp;A</w:t>
      </w:r>
      <w:r>
        <w:rPr>
          <w:color w:val="000000"/>
        </w:rPr>
        <w:t xml:space="preserve">  |  </w:t>
      </w:r>
      <w:r>
        <w:t>Private equity</w:t>
      </w:r>
      <w:r>
        <w:rPr>
          <w:color w:val="000000"/>
        </w:rPr>
        <w:t xml:space="preserve">  |  </w:t>
      </w:r>
      <w:r>
        <w:t>Contract drafting</w:t>
      </w:r>
      <w:r>
        <w:rPr>
          <w:color w:val="000000"/>
        </w:rPr>
        <w:t xml:space="preserve">  |  </w:t>
      </w:r>
      <w:r>
        <w:t>Due diligence</w:t>
      </w:r>
      <w:r>
        <w:rPr>
          <w:color w:val="000000"/>
        </w:rPr>
        <w:t xml:space="preserve">  |  </w:t>
      </w:r>
      <w:r>
        <w:t>Corporate governance</w:t>
      </w:r>
      <w:r>
        <w:rPr>
          <w:color w:val="000000"/>
        </w:rPr>
        <w:t xml:space="preserve">  |  </w:t>
      </w:r>
      <w:r>
        <w:t>Negotiation</w:t>
      </w:r>
    </w:p>
    <w:p>
      <w:pPr>
        <w:pStyle w:val="SectionHeading"/>
        <w:pBdr>
          <w:bottom w:val="single" w:sz="6" w:space="3" w:color="000000"/>
        </w:pBdr>
      </w:pPr>
      <w:r>
        <w:t>Admissions</w:t>
      </w:r>
    </w:p>
    <w:p>
      <w:pPr>
        <w:pStyle w:val="ResumeBullet"/>
      </w:pPr>
      <w:r>
        <w:t>Enrolled, Bar Council of Maharashtra &amp; Goa</w:t>
      </w:r>
    </w:p>
    <w:p>
      <w:pPr>
        <w:pStyle w:val="SectionHeading"/>
        <w:pBdr>
          <w:bottom w:val="single" w:sz="6" w:space="3" w:color="000000"/>
        </w:pBdr>
      </w:pPr>
      <w:r>
        <w:t>Languages</w:t>
      </w:r>
    </w:p>
    <w:p>
      <w:pPr>
        <w:pStyle w:val="BodyText"/>
      </w:pPr>
      <w:r>
        <w:t>English</w:t>
      </w:r>
      <w:r>
        <w:rPr>
          <w:color w:val="000000"/>
        </w:rPr>
        <w:t xml:space="preserve">  |  </w:t>
      </w:r>
      <w:r>
        <w:t>Marathi</w:t>
      </w:r>
      <w:r>
        <w:rPr>
          <w:color w:val="000000"/>
        </w:rPr>
        <w:t xml:space="preserve">  |  </w:t>
      </w:r>
      <w:r>
        <w:t>Hindi</w:t>
      </w:r>
    </w:p>
    <w:sectPr w:rsidR="00FC693F" w:rsidRPr="0006063C" w:rsidSect="00034616">
      <w:pgSz w:w="11906" w:h="16838"/>
      <w:pgMar w:top="1020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3" w:lineRule="auto"/>
    </w:pPr>
    <w:rPr>
      <w:rFonts w:ascii="Calibri" w:hAnsi="Calibri" w:eastAsia="Calibri" w:cs="Calibri"/>
      <w:color w:val="11111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3" w:lineRule="auto"/>
    </w:pPr>
    <w:rPr>
      <w:rFonts w:ascii="Calibri" w:hAnsi="Calibri" w:eastAsia="Calibri" w:cs="Calibri"/>
      <w:b w:val="0"/>
      <w:i w:val="0"/>
      <w:caps w:val="0"/>
      <w:smallCaps w:val="0"/>
      <w:color w:val="111111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2" w:line="240" w:lineRule="auto"/>
      <w:jc w:val="center"/>
    </w:pPr>
    <w:rPr>
      <w:rFonts w:ascii="Calibri" w:hAnsi="Calibri" w:eastAsia="Calibri" w:cs="Calibri"/>
      <w:b/>
      <w:bCs/>
      <w:i w:val="0"/>
      <w:caps w:val="0"/>
      <w:smallCaps w:val="0"/>
      <w:color w:val="00000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76"/>
      <w:jc w:val="center"/>
    </w:pPr>
    <w:rPr>
      <w:rFonts w:ascii="Calibri" w:hAnsi="Calibri" w:eastAsia="Calibri" w:cs="Calibri"/>
      <w:b w:val="0"/>
      <w:i w:val="0"/>
      <w:caps w:val="0"/>
      <w:smallCaps w:val="0"/>
      <w:color w:val="333333"/>
      <w:sz w:val="23"/>
      <w:szCs w:val="23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Calibri" w:hAnsi="Calibri" w:eastAsia="Calibri" w:cs="Calibri"/>
      <w:b w:val="0"/>
      <w:i w:val="0"/>
      <w:caps w:val="0"/>
      <w:smallCaps w:val="0"/>
      <w:color w:val="333333"/>
      <w:sz w:val="22"/>
      <w:szCs w:val="23"/>
    </w:rPr>
  </w:style>
  <w:style w:type="paragraph" w:customStyle="1" w:styleId="SectionHeading">
    <w:name w:val="Section Heading"/>
    <w:basedOn w:val="Normal"/>
    <w:qFormat/>
    <w:pPr>
      <w:keepNext/>
      <w:widowControl/>
      <w:spacing w:before="282" w:after="128"/>
    </w:pPr>
    <w:rPr>
      <w:rFonts w:ascii="Calibri" w:hAnsi="Calibri" w:eastAsia="Calibri" w:cs="Calibri"/>
      <w:b/>
      <w:bCs/>
      <w:i w:val="0"/>
      <w:caps/>
      <w:smallCaps w:val="0"/>
      <w:color w:val="1A1A1A"/>
      <w:spacing w:val="30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3" w:lineRule="auto"/>
    </w:pPr>
    <w:rPr>
      <w:rFonts w:ascii="Calibri" w:hAnsi="Calibri" w:eastAsia="Calibri" w:cs="Calibri"/>
      <w:b w:val="0"/>
      <w:i w:val="0"/>
      <w:caps w:val="0"/>
      <w:smallCaps w:val="0"/>
      <w:color w:val="111111"/>
      <w:sz w:val="24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28" w:after="10"/>
    </w:pPr>
    <w:rPr>
      <w:rFonts w:ascii="Calibri" w:hAnsi="Calibri" w:eastAsia="Calibri" w:cs="Calibri"/>
      <w:b/>
      <w:bCs/>
      <w:i w:val="0"/>
      <w:caps w:val="0"/>
      <w:smallCaps w:val="0"/>
      <w:color w:val="111111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Calibri" w:hAnsi="Calibri" w:eastAsia="Calibri" w:cs="Calibri"/>
      <w:b w:val="0"/>
      <w:i/>
      <w:caps w:val="0"/>
      <w:smallCaps w:val="0"/>
      <w:color w:val="333333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03" w:lineRule="auto"/>
      <w:ind w:left="261" w:hanging="227"/>
    </w:pPr>
    <w:rPr>
      <w:rFonts w:ascii="Calibri" w:hAnsi="Calibri" w:eastAsia="Calibri" w:cs="Calibri"/>
      <w:b w:val="0"/>
      <w:i w:val="0"/>
      <w:caps w:val="0"/>
      <w:smallCaps w:val="0"/>
      <w:color w:val="111111"/>
      <w:sz w:val="24"/>
      <w:szCs w:val="24"/>
    </w:rPr>
  </w:style>
  <w:style w:type="paragraph" w:customStyle="1" w:styleId="SideHeading">
    <w:name w:val="Side Heading"/>
    <w:basedOn w:val="Normal"/>
    <w:qFormat/>
    <w:pPr>
      <w:keepNext/>
      <w:widowControl/>
      <w:spacing w:before="282" w:after="128"/>
    </w:pPr>
    <w:rPr>
      <w:rFonts w:ascii="Calibri" w:hAnsi="Calibri" w:eastAsia="Calibri" w:cs="Calibri"/>
      <w:b/>
      <w:bCs/>
      <w:i w:val="0"/>
      <w:caps/>
      <w:smallCaps w:val="0"/>
      <w:color w:val="1A1A1A"/>
      <w:spacing w:val="30"/>
      <w:sz w:val="25"/>
      <w:szCs w:val="25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3" w:lineRule="auto"/>
    </w:pPr>
    <w:rPr>
      <w:rFonts w:ascii="Calibri" w:hAnsi="Calibri" w:eastAsia="Calibri" w:cs="Calibri"/>
      <w:b w:val="0"/>
      <w:i w:val="0"/>
      <w:caps w:val="0"/>
      <w:smallCaps w:val="0"/>
      <w:color w:val="111111"/>
      <w:sz w:val="24"/>
      <w:szCs w:val="24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Calibri" w:hAnsi="Calibri" w:eastAsia="Calibri" w:cs="Calibri"/>
      <w:b w:val="0"/>
      <w:i w:val="0"/>
      <w:caps/>
      <w:smallCaps w:val="0"/>
      <w:color w:val="333333"/>
      <w:spacing w:val="20"/>
      <w:sz w:val="23"/>
      <w:szCs w:val="23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03" w:lineRule="auto"/>
      <w:ind w:left="261" w:hanging="227"/>
    </w:pPr>
    <w:rPr>
      <w:rFonts w:ascii="Calibri" w:hAnsi="Calibri" w:eastAsia="Calibri" w:cs="Calibri"/>
      <w:b w:val="0"/>
      <w:i w:val="0"/>
      <w:caps w:val="0"/>
      <w:smallCaps w:val="0"/>
      <w:color w:val="111111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Counsel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