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F172A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1906"/>
      </w:tblGrid>
      <w:tr>
        <w:trPr>
          <w:trHeight w:val="16804" w:hRule="atLeast"/>
        </w:trPr>
        <w:tc>
          <w:tcPr>
            <w:tcW w:type="dxa" w:w="11906"/>
            <w:shd w:val="clear" w:color="auto" w:fill="0F172A"/>
            <w:tcMar>
              <w:top w:w="1134" w:type="dxa"/>
              <w:left w:w="1134" w:type="dxa"/>
              <w:bottom w:w="794" w:type="dxa"/>
              <w:right w:w="1134" w:type="dxa"/>
            </w:tcMar>
          </w:tcPr>
          <w:p>
            <w:pPr>
              <w:pStyle w:val="Name"/>
            </w:pPr>
            <w:r>
              <w:t>Neha Agarwal</w:t>
            </w:r>
          </w:p>
          <w:p>
            <w:pPr>
              <w:pStyle w:val="Role"/>
              <w:spacing w:after="40"/>
            </w:pPr>
            <w:r>
              <w:rPr>
                <w:rFonts w:ascii="Noto Sans Devanagari" w:hAnsi="Noto Sans Devanagari" w:eastAsia="Noto Sans Devanagari" w:cs="Noto Sans Devanagari"/>
                <w:b w:val="0"/>
                <w:color w:val="FACC15"/>
                <w:sz w:val="28"/>
                <w:szCs w:val="29"/>
              </w:rPr>
              <w:t>नेहा अग्रवाल</w:t>
            </w:r>
          </w:p>
          <w:p>
            <w:pPr>
              <w:pStyle w:val="Role"/>
            </w:pPr>
            <w:r>
              <w:t>Operations Manager</w:t>
            </w:r>
            <w:r>
              <w:rPr>
                <w:color w:val="FACC15"/>
              </w:rPr>
              <w:t xml:space="preserve">  |  </w:t>
            </w:r>
            <w:r>
              <w:rPr>
                <w:rFonts w:ascii="Noto Sans Devanagari" w:hAnsi="Noto Sans Devanagari" w:eastAsia="Noto Sans Devanagari" w:cs="Noto Sans Devanagari"/>
              </w:rPr>
              <w:t>ऑपरेशन्स मैनेजर</w:t>
            </w:r>
          </w:p>
          <w:p>
            <w:pPr>
              <w:pStyle w:val="Contact"/>
            </w:pPr>
            <w:r>
              <w:t>+91 98220 30405</w:t>
            </w:r>
            <w:r>
              <w:rPr>
                <w:color w:val="FACC15"/>
              </w:rPr>
              <w:t xml:space="preserve">   |   </w:t>
            </w:r>
            <w:r>
              <w:t>neha.agarwal@email.com</w:t>
            </w:r>
            <w:r>
              <w:rPr>
                <w:color w:val="FACC15"/>
              </w:rPr>
              <w:t xml:space="preserve">   |   </w:t>
            </w:r>
            <w:r>
              <w:t>Pune, India</w:t>
            </w:r>
            <w:r>
              <w:rPr>
                <w:color w:val="FACC15"/>
              </w:rPr>
              <w:t xml:space="preserve">   |   </w:t>
            </w:r>
            <w:r>
              <w:t>linkedin.com/in/nehaagarwal</w:t>
            </w:r>
          </w:p>
          <w:p>
            <w:pPr>
              <w:pStyle w:val="SectionHeading"/>
              <w:tabs>
                <w:tab w:pos="9638" w:val="right" w:leader="underscore"/>
              </w:tabs>
            </w:pPr>
            <w:r>
              <w:t>Profile</w:t>
            </w:r>
            <w:r>
              <w:rPr>
                <w:rFonts w:ascii="Noto Sans Devanagari" w:hAnsi="Noto Sans Devanagari" w:eastAsia="Noto Sans Devanagari" w:cs="Noto Sans Devanagari"/>
                <w:b w:val="0"/>
                <w:color w:val="FACC15"/>
              </w:rPr>
              <w:t xml:space="preserve">  परिचय</w:t>
            </w:r>
            <w:r>
              <w:t xml:space="preserve"> </w:t>
            </w:r>
            <w:r>
              <w:tab/>
            </w:r>
          </w:p>
          <w:p>
            <w:pPr>
              <w:pStyle w:val="Summary"/>
            </w:pPr>
            <w:r>
              <w:t>Operations manager with 7 years in e-commerce fulfilment and supply chain. I simplify processes, build dashboards that drive daily decisions and lead teams through peak season without drama.</w:t>
            </w:r>
          </w:p>
          <w:p>
            <w:pPr>
              <w:pStyle w:val="Summary"/>
              <w:spacing w:before="60"/>
            </w:pPr>
            <w:r>
              <w:rPr>
                <w:rFonts w:ascii="Noto Sans Devanagari" w:hAnsi="Noto Sans Devanagari" w:eastAsia="Noto Sans Devanagari" w:cs="Noto Sans Devanagari"/>
              </w:rPr>
              <w:t>ई-कॉमर्स फ़ुलफ़िलमेंट और सप्लाई चेन में सात वर्षों का अनुभव। प्रक्रियाओं को सरल बनाना और टीम का नेतृत्व करना मेरा काम है।</w:t>
            </w:r>
          </w:p>
          <w:p>
            <w:pPr>
              <w:pStyle w:val="SectionHeading"/>
              <w:tabs>
                <w:tab w:pos="9638" w:val="right" w:leader="underscore"/>
              </w:tabs>
            </w:pPr>
            <w:r>
              <w:t>Experience</w:t>
            </w:r>
            <w:r>
              <w:rPr>
                <w:rFonts w:ascii="Noto Sans Devanagari" w:hAnsi="Noto Sans Devanagari" w:eastAsia="Noto Sans Devanagari" w:cs="Noto Sans Devanagari"/>
                <w:b w:val="0"/>
                <w:color w:val="FACC15"/>
              </w:rPr>
              <w:t xml:space="preserve">  अनुभव</w:t>
            </w:r>
            <w:r>
              <w:t xml:space="preserve"> </w:t>
            </w:r>
            <w:r>
              <w:tab/>
            </w:r>
          </w:p>
          <w:p>
            <w:pPr>
              <w:pStyle w:val="EntryTitle"/>
              <w:tabs>
                <w:tab w:pos="9638" w:val="right"/>
              </w:tabs>
            </w:pPr>
            <w:r>
              <w:t>Operations Manager</w:t>
            </w:r>
            <w:r>
              <w:tab/>
            </w:r>
            <w:r>
              <w:rPr>
                <w:rFonts w:ascii="Noto Sans" w:hAnsi="Noto Sans" w:eastAsia="Noto Sans" w:cs="Noto Sans"/>
                <w:b w:val="0"/>
                <w:i w:val="0"/>
                <w:color w:val="94A3B8"/>
                <w:sz w:val="17"/>
                <w:szCs w:val="17"/>
              </w:rPr>
              <w:t>2021 — Present</w:t>
            </w:r>
          </w:p>
          <w:p>
            <w:pPr>
              <w:pStyle w:val="EntryMeta"/>
            </w:pPr>
            <w:r>
              <w:t>Tidewater Logistics, Pune</w:t>
            </w:r>
          </w:p>
          <w:p>
            <w:pPr>
              <w:pStyle w:val="ResumeBullet"/>
            </w:pPr>
            <w:r>
              <w:t>Run a 2.4 lakh sq ft fulfilment centre with 350 staff across three shifts.</w:t>
            </w:r>
          </w:p>
          <w:p>
            <w:pPr>
              <w:pStyle w:val="ResumeBullet"/>
            </w:pPr>
            <w:r>
              <w:t>Raised order accuracy to 99.7% and cut cost per order by 18%.</w:t>
            </w:r>
          </w:p>
          <w:p>
            <w:pPr>
              <w:pStyle w:val="ResumeBullet"/>
            </w:pPr>
            <w:r>
              <w:t>Led peak-season planning for festive sales with zero missed SLAs.</w:t>
            </w:r>
          </w:p>
          <w:p>
            <w:pPr>
              <w:pStyle w:val="EntryTitle"/>
              <w:tabs>
                <w:tab w:pos="9638" w:val="right"/>
              </w:tabs>
            </w:pPr>
            <w:r>
              <w:t>Assistant Manager — Supply Chain</w:t>
            </w:r>
            <w:r>
              <w:tab/>
            </w:r>
            <w:r>
              <w:rPr>
                <w:rFonts w:ascii="Noto Sans" w:hAnsi="Noto Sans" w:eastAsia="Noto Sans" w:cs="Noto Sans"/>
                <w:b w:val="0"/>
                <w:i w:val="0"/>
                <w:color w:val="94A3B8"/>
                <w:sz w:val="17"/>
                <w:szCs w:val="17"/>
              </w:rPr>
              <w:t>2018 — 2021</w:t>
            </w:r>
          </w:p>
          <w:p>
            <w:pPr>
              <w:pStyle w:val="EntryMeta"/>
            </w:pPr>
            <w:r>
              <w:t>Pinecrest Retail, Mumbai</w:t>
            </w:r>
          </w:p>
          <w:p>
            <w:pPr>
              <w:pStyle w:val="ResumeBullet"/>
            </w:pPr>
            <w:r>
              <w:t>Managed inventory planning for 2,000 SKUs across 40 stores.</w:t>
            </w:r>
          </w:p>
          <w:p>
            <w:pPr>
              <w:pStyle w:val="ResumeBullet"/>
            </w:pPr>
            <w:r>
              <w:t>Reduced stock-outs by 30% with a new replenishment model.</w:t>
            </w:r>
          </w:p>
          <w:p>
            <w:pPr>
              <w:pStyle w:val="EntryTitle"/>
              <w:tabs>
                <w:tab w:pos="9638" w:val="right"/>
              </w:tabs>
            </w:pPr>
            <w:r>
              <w:t>Management Trainee</w:t>
            </w:r>
            <w:r>
              <w:tab/>
            </w:r>
            <w:r>
              <w:rPr>
                <w:rFonts w:ascii="Noto Sans" w:hAnsi="Noto Sans" w:eastAsia="Noto Sans" w:cs="Noto Sans"/>
                <w:b w:val="0"/>
                <w:i w:val="0"/>
                <w:color w:val="94A3B8"/>
                <w:sz w:val="17"/>
                <w:szCs w:val="17"/>
              </w:rPr>
              <w:t>2017 — 2018</w:t>
            </w:r>
          </w:p>
          <w:p>
            <w:pPr>
              <w:pStyle w:val="EntryMeta"/>
            </w:pPr>
            <w:r>
              <w:t>Saffronleaf Foods, Pune</w:t>
            </w:r>
          </w:p>
          <w:p>
            <w:pPr>
              <w:pStyle w:val="ResumeBullet"/>
            </w:pPr>
            <w:r>
              <w:t>Rotated through procurement, production planning and dispatch.</w:t>
            </w:r>
          </w:p>
          <w:p>
            <w:pPr>
              <w:pStyle w:val="SectionHeading"/>
              <w:tabs>
                <w:tab w:pos="9638" w:val="right" w:leader="underscore"/>
              </w:tabs>
            </w:pPr>
            <w:r>
              <w:t>Education</w:t>
            </w:r>
            <w:r>
              <w:rPr>
                <w:rFonts w:ascii="Noto Sans Devanagari" w:hAnsi="Noto Sans Devanagari" w:eastAsia="Noto Sans Devanagari" w:cs="Noto Sans Devanagari"/>
                <w:b w:val="0"/>
                <w:color w:val="FACC15"/>
              </w:rPr>
              <w:t xml:space="preserve">  शिक्षा</w:t>
            </w:r>
            <w:r>
              <w:t xml:space="preserve"> </w:t>
            </w:r>
            <w:r>
              <w:tab/>
            </w:r>
          </w:p>
          <w:p>
            <w:pPr>
              <w:pStyle w:val="EntryTitle"/>
              <w:tabs>
                <w:tab w:pos="9638" w:val="right"/>
              </w:tabs>
            </w:pPr>
            <w:r>
              <w:t>PGDM, Operations</w:t>
            </w:r>
            <w:r>
              <w:tab/>
            </w:r>
            <w:r>
              <w:rPr>
                <w:rFonts w:ascii="Noto Sans" w:hAnsi="Noto Sans" w:eastAsia="Noto Sans" w:cs="Noto Sans"/>
                <w:b w:val="0"/>
                <w:i w:val="0"/>
                <w:color w:val="94A3B8"/>
                <w:sz w:val="17"/>
                <w:szCs w:val="17"/>
              </w:rPr>
              <w:t>2015 — 2017</w:t>
            </w:r>
          </w:p>
          <w:p>
            <w:pPr>
              <w:pStyle w:val="EntryMeta"/>
            </w:pPr>
            <w:r>
              <w:t>Sunrise Institute of Management</w:t>
            </w:r>
          </w:p>
          <w:p>
            <w:pPr>
              <w:pStyle w:val="EntryTitle"/>
              <w:tabs>
                <w:tab w:pos="9638" w:val="right"/>
              </w:tabs>
            </w:pPr>
            <w:r>
              <w:t>B.E., Mechanical</w:t>
            </w:r>
            <w:r>
              <w:tab/>
            </w:r>
            <w:r>
              <w:rPr>
                <w:rFonts w:ascii="Noto Sans" w:hAnsi="Noto Sans" w:eastAsia="Noto Sans" w:cs="Noto Sans"/>
                <w:b w:val="0"/>
                <w:i w:val="0"/>
                <w:color w:val="94A3B8"/>
                <w:sz w:val="17"/>
                <w:szCs w:val="17"/>
              </w:rPr>
              <w:t>2011 — 2015</w:t>
            </w:r>
          </w:p>
          <w:p>
            <w:pPr>
              <w:pStyle w:val="EntryMeta"/>
            </w:pPr>
            <w:r>
              <w:t>Deccan Valley University</w:t>
            </w:r>
          </w:p>
          <w:p>
            <w:pPr>
              <w:pStyle w:val="SectionHeading"/>
              <w:tabs>
                <w:tab w:pos="9638" w:val="right" w:leader="underscore"/>
              </w:tabs>
            </w:pPr>
            <w:r>
              <w:t>Skills</w:t>
            </w:r>
            <w:r>
              <w:rPr>
                <w:rFonts w:ascii="Noto Sans Devanagari" w:hAnsi="Noto Sans Devanagari" w:eastAsia="Noto Sans Devanagari" w:cs="Noto Sans Devanagari"/>
                <w:b w:val="0"/>
                <w:color w:val="FACC15"/>
              </w:rPr>
              <w:t xml:space="preserve">  कौशल</w:t>
            </w:r>
            <w:r>
              <w:t xml:space="preserve"> </w:t>
            </w:r>
            <w:r>
              <w:tab/>
            </w:r>
          </w:p>
          <w:p>
            <w:pPr>
              <w:pStyle w:val="BodyText"/>
              <w:spacing w:line="420" w:lineRule="auto"/>
            </w:pPr>
            <w:r>
              <w:rPr>
                <w:color w:val="FEF9C3"/>
                <w:sz w:val="16"/>
                <w:szCs w:val="17"/>
                <w:shd w:val="clear" w:color="auto" w:fill="1E293B"/>
              </w:rPr>
              <w:t xml:space="preserve"> Process improvement </w:t>
            </w:r>
            <w:r>
              <w:t xml:space="preserve">   </w:t>
            </w:r>
            <w:r>
              <w:rPr>
                <w:color w:val="FEF9C3"/>
                <w:sz w:val="16"/>
                <w:szCs w:val="17"/>
                <w:shd w:val="clear" w:color="auto" w:fill="1E293B"/>
              </w:rPr>
              <w:t xml:space="preserve"> Lean &amp; Six Sigma </w:t>
            </w:r>
            <w:r>
              <w:t xml:space="preserve">   </w:t>
            </w:r>
            <w:r>
              <w:rPr>
                <w:color w:val="FEF9C3"/>
                <w:sz w:val="16"/>
                <w:szCs w:val="17"/>
                <w:shd w:val="clear" w:color="auto" w:fill="1E293B"/>
              </w:rPr>
              <w:t xml:space="preserve"> Inventory planning </w:t>
            </w:r>
            <w:r>
              <w:t xml:space="preserve">   </w:t>
            </w:r>
            <w:r>
              <w:rPr>
                <w:color w:val="FEF9C3"/>
                <w:sz w:val="16"/>
                <w:szCs w:val="17"/>
                <w:shd w:val="clear" w:color="auto" w:fill="1E293B"/>
              </w:rPr>
              <w:t xml:space="preserve"> Workforce planning </w:t>
            </w:r>
            <w:r>
              <w:t xml:space="preserve">   </w:t>
            </w:r>
            <w:r>
              <w:rPr>
                <w:color w:val="FEF9C3"/>
                <w:sz w:val="16"/>
                <w:szCs w:val="17"/>
                <w:shd w:val="clear" w:color="auto" w:fill="1E293B"/>
              </w:rPr>
              <w:t xml:space="preserve"> Vendor management </w:t>
            </w:r>
            <w:r>
              <w:t xml:space="preserve">   </w:t>
            </w:r>
            <w:r>
              <w:rPr>
                <w:color w:val="FEF9C3"/>
                <w:sz w:val="16"/>
                <w:szCs w:val="17"/>
                <w:shd w:val="clear" w:color="auto" w:fill="1E293B"/>
              </w:rPr>
              <w:t xml:space="preserve"> KPI dashboards </w:t>
            </w:r>
            <w:r>
              <w:t xml:space="preserve">   </w:t>
            </w:r>
          </w:p>
          <w:p>
            <w:pPr>
              <w:pStyle w:val="SectionHeading"/>
              <w:tabs>
                <w:tab w:pos="9638" w:val="right" w:leader="underscore"/>
              </w:tabs>
            </w:pPr>
            <w:r>
              <w:t>Certifications</w:t>
            </w:r>
            <w:r>
              <w:rPr>
                <w:rFonts w:ascii="Noto Sans Devanagari" w:hAnsi="Noto Sans Devanagari" w:eastAsia="Noto Sans Devanagari" w:cs="Noto Sans Devanagari"/>
                <w:b w:val="0"/>
                <w:color w:val="FACC15"/>
              </w:rPr>
              <w:t xml:space="preserve">  प्रमाणपत्र</w:t>
            </w:r>
            <w:r>
              <w:t xml:space="preserve"> </w:t>
            </w:r>
            <w:r>
              <w:tab/>
            </w:r>
          </w:p>
          <w:p>
            <w:pPr>
              <w:pStyle w:val="ResumeBullet"/>
            </w:pPr>
            <w:r>
              <w:t>Six Sigma Green Belt</w:t>
            </w:r>
          </w:p>
          <w:p>
            <w:pPr>
              <w:pStyle w:val="SectionHeading"/>
              <w:tabs>
                <w:tab w:pos="9638" w:val="right" w:leader="underscore"/>
              </w:tabs>
            </w:pPr>
            <w:r>
              <w:t>Languages</w:t>
            </w:r>
            <w:r>
              <w:rPr>
                <w:rFonts w:ascii="Noto Sans Devanagari" w:hAnsi="Noto Sans Devanagari" w:eastAsia="Noto Sans Devanagari" w:cs="Noto Sans Devanagari"/>
                <w:b w:val="0"/>
                <w:color w:val="FACC15"/>
              </w:rPr>
              <w:t xml:space="preserve">  भाषाएँ</w:t>
            </w:r>
            <w:r>
              <w:t xml:space="preserve"> </w:t>
            </w:r>
            <w:r>
              <w:tab/>
            </w:r>
          </w:p>
          <w:p>
            <w:pPr>
              <w:pStyle w:val="BodyText"/>
            </w:pPr>
            <w:r>
              <w:t>English</w:t>
            </w:r>
            <w:r>
              <w:rPr>
                <w:color w:val="FACC15"/>
              </w:rPr>
              <w:t xml:space="preserve">   |   </w:t>
            </w:r>
            <w:r>
              <w:t>Hindi</w:t>
            </w:r>
            <w:r>
              <w:rPr>
                <w:color w:val="FACC15"/>
              </w:rPr>
              <w:t xml:space="preserve">   |   </w:t>
            </w:r>
            <w:r>
              <w:t>Marathi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▸"/>
      <w:lvlJc w:val="left"/>
      <w:pPr>
        <w:ind w:left="295" w:hanging="272"/>
      </w:pPr>
      <w:rPr>
        <w:rFonts w:ascii="Segoe UI Symbol" w:hAnsi="Segoe UI Symbol" w:cs="Segoe UI Symbol" w:hint="default"/>
        <w:color w:val="FACC15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▸"/>
      <w:lvlJc w:val="left"/>
      <w:pPr>
        <w:ind w:left="295" w:hanging="272"/>
      </w:pPr>
      <w:rPr>
        <w:rFonts w:ascii="Segoe UI Symbol" w:hAnsi="Segoe UI Symbol" w:cs="Segoe UI Symbol" w:hint="default"/>
        <w:color w:val="FACC15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oto Sans" w:hAnsi="Noto Sans" w:eastAsia="Noto Sans" w:cs="Noto Sans Devanagar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2" w:lineRule="auto"/>
    </w:pPr>
    <w:rPr>
      <w:rFonts w:ascii="Noto Sans" w:hAnsi="Noto Sans" w:eastAsia="Noto Sans" w:cs="Noto Sans Devanagari"/>
      <w:color w:val="CBD5E1"/>
      <w:sz w:val="17"/>
      <w:szCs w:val="18"/>
      <w:lang w:val="en-IN" w:bidi="hi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2" w:lineRule="auto"/>
    </w:pPr>
    <w:rPr>
      <w:rFonts w:ascii="Noto Sans" w:hAnsi="Noto Sans" w:eastAsia="Noto Sans" w:cs="Noto Sans Devanagari"/>
      <w:b w:val="0"/>
      <w:i w:val="0"/>
      <w:caps w:val="0"/>
      <w:smallCaps w:val="0"/>
      <w:color w:val="CBD5E1"/>
      <w:sz w:val="17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36" w:line="240" w:lineRule="auto"/>
    </w:pPr>
    <w:rPr>
      <w:rFonts w:ascii="Noto Sans" w:hAnsi="Noto Sans" w:eastAsia="Noto Sans" w:cs="Noto Sans Devanagari"/>
      <w:b/>
      <w:bCs/>
      <w:i w:val="0"/>
      <w:caps w:val="0"/>
      <w:smallCaps w:val="0"/>
      <w:color w:val="FFFFFF"/>
      <w:sz w:val="64"/>
      <w:szCs w:val="64"/>
    </w:rPr>
  </w:style>
  <w:style w:type="paragraph" w:customStyle="1" w:styleId="Role">
    <w:name w:val="Role"/>
    <w:basedOn w:val="Normal"/>
    <w:qFormat/>
    <w:pPr>
      <w:keepNext w:val="0"/>
      <w:widowControl/>
      <w:spacing w:before="0" w:after="74"/>
    </w:pPr>
    <w:rPr>
      <w:rFonts w:ascii="Noto Sans" w:hAnsi="Noto Sans" w:eastAsia="Noto Sans" w:cs="Noto Sans Devanagari"/>
      <w:b w:val="0"/>
      <w:i w:val="0"/>
      <w:caps w:val="0"/>
      <w:smallCaps w:val="0"/>
      <w:color w:val="FACC15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Noto Sans" w:hAnsi="Noto Sans" w:eastAsia="Noto Sans" w:cs="Noto Sans Devanagari"/>
      <w:b w:val="0"/>
      <w:i w:val="0"/>
      <w:caps w:val="0"/>
      <w:smallCaps w:val="0"/>
      <w:color w:val="94A3B8"/>
      <w:sz w:val="16"/>
      <w:szCs w:val="16"/>
    </w:rPr>
  </w:style>
  <w:style w:type="paragraph" w:customStyle="1" w:styleId="SectionHeading">
    <w:name w:val="Section Heading"/>
    <w:basedOn w:val="Normal"/>
    <w:qFormat/>
    <w:pPr>
      <w:keepNext/>
      <w:widowControl/>
      <w:spacing w:before="220" w:after="92"/>
    </w:pPr>
    <w:rPr>
      <w:rFonts w:ascii="Noto Sans" w:hAnsi="Noto Sans" w:eastAsia="Noto Sans" w:cs="Noto Sans Devanagari"/>
      <w:b/>
      <w:bCs/>
      <w:i w:val="0"/>
      <w:caps w:val="0"/>
      <w:smallCaps w:val="0"/>
      <w:color w:val="FACC15"/>
      <w:spacing w:val="6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2" w:lineRule="auto"/>
    </w:pPr>
    <w:rPr>
      <w:rFonts w:ascii="Noto Sans" w:hAnsi="Noto Sans" w:eastAsia="Noto Sans" w:cs="Noto Sans Devanagari"/>
      <w:b w:val="0"/>
      <w:i w:val="0"/>
      <w:caps w:val="0"/>
      <w:smallCaps w:val="0"/>
      <w:color w:val="CBD5E1"/>
      <w:sz w:val="17"/>
      <w:szCs w:val="18"/>
    </w:rPr>
  </w:style>
  <w:style w:type="paragraph" w:customStyle="1" w:styleId="EntryTitle">
    <w:name w:val="Entry Title"/>
    <w:basedOn w:val="Normal"/>
    <w:qFormat/>
    <w:pPr>
      <w:keepNext/>
      <w:widowControl/>
      <w:spacing w:before="92" w:after="10"/>
    </w:pPr>
    <w:rPr>
      <w:rFonts w:ascii="Noto Sans" w:hAnsi="Noto Sans" w:eastAsia="Noto Sans" w:cs="Noto Sans Devanagari"/>
      <w:b/>
      <w:bCs/>
      <w:i w:val="0"/>
      <w:caps w:val="0"/>
      <w:smallCaps w:val="0"/>
      <w:color w:val="FFFFFF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Noto Sans" w:hAnsi="Noto Sans" w:eastAsia="Noto Sans" w:cs="Noto Sans Devanagari"/>
      <w:b w:val="0"/>
      <w:i w:val="0"/>
      <w:caps w:val="0"/>
      <w:smallCaps w:val="0"/>
      <w:color w:val="FDE68A"/>
      <w:sz w:val="17"/>
      <w:szCs w:val="1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2" w:line="292" w:lineRule="auto"/>
      <w:ind w:left="295" w:hanging="272"/>
    </w:pPr>
    <w:rPr>
      <w:rFonts w:ascii="Noto Sans" w:hAnsi="Noto Sans" w:eastAsia="Noto Sans" w:cs="Noto Sans Devanagari"/>
      <w:b w:val="0"/>
      <w:i w:val="0"/>
      <w:caps w:val="0"/>
      <w:smallCaps w:val="0"/>
      <w:color w:val="CBD5E1"/>
      <w:sz w:val="17"/>
      <w:szCs w:val="18"/>
    </w:rPr>
  </w:style>
  <w:style w:type="paragraph" w:customStyle="1" w:styleId="SideHeading">
    <w:name w:val="Side Heading"/>
    <w:basedOn w:val="Normal"/>
    <w:qFormat/>
    <w:pPr>
      <w:keepNext/>
      <w:widowControl/>
      <w:spacing w:before="220" w:after="92"/>
    </w:pPr>
    <w:rPr>
      <w:rFonts w:ascii="Noto Sans" w:hAnsi="Noto Sans" w:eastAsia="Noto Sans" w:cs="Noto Sans Devanagari"/>
      <w:b/>
      <w:bCs/>
      <w:i w:val="0"/>
      <w:caps w:val="0"/>
      <w:smallCaps w:val="0"/>
      <w:color w:val="FACC15"/>
      <w:spacing w:val="6"/>
      <w:sz w:val="22"/>
      <w:szCs w:val="22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92" w:lineRule="auto"/>
    </w:pPr>
    <w:rPr>
      <w:rFonts w:ascii="Noto Sans" w:hAnsi="Noto Sans" w:eastAsia="Noto Sans" w:cs="Noto Sans Devanagari"/>
      <w:b w:val="0"/>
      <w:i w:val="0"/>
      <w:caps w:val="0"/>
      <w:smallCaps w:val="0"/>
      <w:color w:val="CBD5E1"/>
      <w:sz w:val="17"/>
      <w:szCs w:val="18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Noto Sans" w:hAnsi="Noto Sans" w:eastAsia="Noto Sans" w:cs="Noto Sans Devanagari"/>
      <w:b w:val="0"/>
      <w:i w:val="0"/>
      <w:caps/>
      <w:smallCaps w:val="0"/>
      <w:color w:val="94A3B8"/>
      <w:spacing w:val="20"/>
      <w:sz w:val="16"/>
      <w:szCs w:val="17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2" w:line="292" w:lineRule="auto"/>
      <w:ind w:left="295" w:hanging="272"/>
    </w:pPr>
    <w:rPr>
      <w:rFonts w:ascii="Noto Sans" w:hAnsi="Noto Sans" w:eastAsia="Noto Sans" w:cs="Noto Sans Devanagari"/>
      <w:b w:val="0"/>
      <w:i w:val="0"/>
      <w:caps w:val="0"/>
      <w:smallCaps w:val="0"/>
      <w:color w:val="CBD5E1"/>
      <w:sz w:val="17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Sanchalan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