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Name"/>
      </w:pPr>
      <w:r>
        <w:t>Olivia M. Hart</w:t>
      </w:r>
    </w:p>
    <w:p>
      <w:pPr>
        <w:pStyle w:val="Contact"/>
        <w:pBdr>
          <w:bottom w:val="single" w:sz="6" w:space="4" w:color="000000"/>
        </w:pBdr>
      </w:pPr>
      <w:r>
        <w:t>Baltimore, MD</w:t>
      </w:r>
      <w:r>
        <w:t xml:space="preserve">  ·  </w:t>
      </w:r>
      <w:r>
        <w:t>(410) 555-0113</w:t>
      </w:r>
      <w:r>
        <w:t xml:space="preserve">  ·  </w:t>
      </w:r>
      <w:r>
        <w:t>olivia.hart@college.edu</w:t>
      </w:r>
    </w:p>
    <w:p>
      <w:pPr>
        <w:pStyle w:val="SectionHeading"/>
        <w:pBdr>
          <w:bottom w:val="single" w:sz="6" w:space="1" w:color="000000"/>
        </w:pBdr>
      </w:pPr>
      <w:r>
        <w:t>Education</w:t>
      </w:r>
    </w:p>
    <w:p>
      <w:pPr>
        <w:pStyle w:val="EntryTitle"/>
        <w:tabs>
          <w:tab w:pos="9360" w:val="right"/>
        </w:tabs>
      </w:pPr>
      <w:r>
        <w:t>Hollins University</w:t>
      </w:r>
      <w:r>
        <w:rPr>
          <w:b w:val="0"/>
        </w:rPr>
        <w:t>, Baltimore, MD</w:t>
      </w:r>
      <w:r>
        <w:tab/>
      </w:r>
      <w:r>
        <w:rPr>
          <w:b w:val="0"/>
        </w:rPr>
        <w:t>May 2027</w:t>
      </w:r>
    </w:p>
    <w:p>
      <w:pPr>
        <w:pStyle w:val="EntryMeta"/>
      </w:pPr>
      <w:r>
        <w:t>B.S. in Molecular Biology, Minor in Public Health</w:t>
      </w:r>
    </w:p>
    <w:p>
      <w:pPr>
        <w:pStyle w:val="BodyText"/>
      </w:pPr>
      <w:r>
        <w:rPr>
          <w:b w:val="0"/>
          <w:i/>
        </w:rPr>
        <w:t>GPA:</w:t>
      </w:r>
      <w:r>
        <w:t xml:space="preserve"> 3.94/4.00; Science GPA: 3.96; University Scholar</w:t>
      </w:r>
    </w:p>
    <w:p>
      <w:pPr>
        <w:pStyle w:val="BodyText"/>
      </w:pPr>
      <w:r>
        <w:rPr>
          <w:b w:val="0"/>
          <w:i/>
        </w:rPr>
        <w:t>Relevant Coursework:</w:t>
      </w:r>
      <w:r>
        <w:t xml:space="preserve"> Biochemistry, Genetics, Organic Chemistry I–II, Physiology, Biostatistics</w:t>
      </w:r>
    </w:p>
    <w:p>
      <w:pPr>
        <w:pStyle w:val="SectionHeading"/>
        <w:pBdr>
          <w:bottom w:val="single" w:sz="6" w:space="1" w:color="000000"/>
        </w:pBdr>
      </w:pPr>
      <w:r>
        <w:t>Research</w:t>
      </w:r>
    </w:p>
    <w:p>
      <w:pPr>
        <w:pStyle w:val="EntryTitle"/>
        <w:tabs>
          <w:tab w:pos="9360" w:val="right"/>
        </w:tabs>
      </w:pPr>
      <w:r>
        <w:t>Riverstone Research Institute</w:t>
      </w:r>
      <w:r>
        <w:rPr>
          <w:b w:val="0"/>
        </w:rPr>
        <w:t>, Baltimore, MD</w:t>
      </w:r>
      <w:r>
        <w:rPr>
          <w:b w:val="0"/>
        </w:rPr>
        <w:t xml:space="preserve">  —  </w:t>
      </w:r>
      <w:r>
        <w:rPr>
          <w:b w:val="0"/>
          <w:i/>
        </w:rPr>
        <w:t>Summer Research Fellow</w:t>
      </w:r>
      <w:r>
        <w:tab/>
      </w:r>
      <w:r>
        <w:rPr>
          <w:b w:val="0"/>
        </w:rPr>
        <w:t>Jun 2026 – Aug 2026</w:t>
      </w:r>
    </w:p>
    <w:p>
      <w:pPr>
        <w:pStyle w:val="ResumeBullet"/>
      </w:pPr>
      <w:r>
        <w:t>Characterized drug-tolerant persister cells using single-cell RNA sequencing data.</w:t>
      </w:r>
    </w:p>
    <w:p>
      <w:pPr>
        <w:pStyle w:val="SectionHeading"/>
        <w:pBdr>
          <w:bottom w:val="single" w:sz="6" w:space="1" w:color="000000"/>
        </w:pBdr>
      </w:pPr>
      <w:r>
        <w:t>Experience</w:t>
      </w:r>
    </w:p>
    <w:p>
      <w:pPr>
        <w:pStyle w:val="EntryTitle"/>
        <w:tabs>
          <w:tab w:pos="9360" w:val="right"/>
        </w:tabs>
      </w:pPr>
      <w:r>
        <w:t>Riverstone Research Institute</w:t>
      </w:r>
      <w:r>
        <w:rPr>
          <w:b w:val="0"/>
        </w:rPr>
        <w:t>, Baltimore, MD</w:t>
      </w:r>
      <w:r>
        <w:rPr>
          <w:b w:val="0"/>
        </w:rPr>
        <w:t xml:space="preserve">  —  </w:t>
      </w:r>
      <w:r>
        <w:rPr>
          <w:b w:val="0"/>
          <w:i/>
        </w:rPr>
        <w:t>Undergraduate Researcher, Oncology Lab</w:t>
      </w:r>
      <w:r>
        <w:tab/>
      </w:r>
      <w:r>
        <w:rPr>
          <w:b w:val="0"/>
        </w:rPr>
        <w:t>Jan 2025 – Present</w:t>
      </w:r>
    </w:p>
    <w:p>
      <w:pPr>
        <w:pStyle w:val="ResumeBullet"/>
      </w:pPr>
      <w:r>
        <w:t>Run CRISPR knockout screens in breast-cancer cell lines; identified two candidate resistance genes.</w:t>
      </w:r>
    </w:p>
    <w:p>
      <w:pPr>
        <w:pStyle w:val="ResumeBullet"/>
      </w:pPr>
      <w:r>
        <w:t>Present monthly at lab meetings; second author on a manuscript in preparation.</w:t>
      </w:r>
    </w:p>
    <w:p>
      <w:pPr>
        <w:pStyle w:val="EntryTitle"/>
        <w:tabs>
          <w:tab w:pos="9360" w:val="right"/>
        </w:tabs>
      </w:pPr>
      <w:r>
        <w:t>Riverstone Hospital Emergency Department</w:t>
      </w:r>
      <w:r>
        <w:rPr>
          <w:b w:val="0"/>
        </w:rPr>
        <w:t>, Baltimore, MD</w:t>
      </w:r>
      <w:r>
        <w:rPr>
          <w:b w:val="0"/>
        </w:rPr>
        <w:t xml:space="preserve">  —  </w:t>
      </w:r>
      <w:r>
        <w:rPr>
          <w:b w:val="0"/>
          <w:i/>
        </w:rPr>
        <w:t>Patient Care Volunteer</w:t>
      </w:r>
      <w:r>
        <w:tab/>
      </w:r>
      <w:r>
        <w:rPr>
          <w:b w:val="0"/>
        </w:rPr>
        <w:t>Sep 2024 – Present</w:t>
      </w:r>
    </w:p>
    <w:p>
      <w:pPr>
        <w:pStyle w:val="ResumeBullet"/>
      </w:pPr>
      <w:r>
        <w:t>Support nurses and patients during 4-hour weekly shifts; 300+ volunteer hours.</w:t>
      </w:r>
    </w:p>
    <w:p>
      <w:pPr>
        <w:pStyle w:val="EntryTitle"/>
        <w:tabs>
          <w:tab w:pos="9360" w:val="right"/>
        </w:tabs>
      </w:pPr>
      <w:r>
        <w:t>Community Health Clinic</w:t>
      </w:r>
      <w:r>
        <w:rPr>
          <w:b w:val="0"/>
        </w:rPr>
        <w:t>, Baltimore, MD</w:t>
      </w:r>
      <w:r>
        <w:rPr>
          <w:b w:val="0"/>
        </w:rPr>
        <w:t xml:space="preserve">  —  </w:t>
      </w:r>
      <w:r>
        <w:rPr>
          <w:b w:val="0"/>
          <w:i/>
        </w:rPr>
        <w:t>Medical Scribe</w:t>
      </w:r>
      <w:r>
        <w:tab/>
      </w:r>
      <w:r>
        <w:rPr>
          <w:b w:val="0"/>
        </w:rPr>
        <w:t>Jun 2025 – Aug 2025</w:t>
      </w:r>
    </w:p>
    <w:p>
      <w:pPr>
        <w:pStyle w:val="ResumeBullet"/>
      </w:pPr>
      <w:r>
        <w:t>Documented 25+ patient encounters per shift in the clinic EHR for two attending physicians.</w:t>
      </w:r>
    </w:p>
    <w:p>
      <w:pPr>
        <w:pStyle w:val="SectionHeading"/>
        <w:pBdr>
          <w:bottom w:val="single" w:sz="6" w:space="1" w:color="000000"/>
        </w:pBdr>
      </w:pPr>
      <w:r>
        <w:t>Leadership &amp; Activities</w:t>
      </w:r>
    </w:p>
    <w:p>
      <w:pPr>
        <w:pStyle w:val="EntryTitle"/>
        <w:tabs>
          <w:tab w:pos="9360" w:val="right"/>
        </w:tabs>
      </w:pPr>
      <w:r>
        <w:t>Hollins Health Equity Project</w:t>
      </w:r>
      <w:r>
        <w:rPr>
          <w:b w:val="0"/>
        </w:rPr>
        <w:t>, Baltimore, MD</w:t>
      </w:r>
      <w:r>
        <w:rPr>
          <w:b w:val="0"/>
        </w:rPr>
        <w:t xml:space="preserve">  —  </w:t>
      </w:r>
      <w:r>
        <w:rPr>
          <w:b w:val="0"/>
          <w:i/>
        </w:rPr>
        <w:t>Co-Founder</w:t>
      </w:r>
      <w:r>
        <w:tab/>
      </w:r>
      <w:r>
        <w:rPr>
          <w:b w:val="0"/>
        </w:rPr>
        <w:t>Sep 2024 – Present</w:t>
      </w:r>
    </w:p>
    <w:p>
      <w:pPr>
        <w:pStyle w:val="ResumeBullet"/>
      </w:pPr>
      <w:r>
        <w:t>Organize free blood-pressure screenings reaching 900 residents across 12 neighborhoods.</w:t>
      </w:r>
    </w:p>
    <w:p>
      <w:pPr>
        <w:pStyle w:val="EntryTitle"/>
        <w:tabs>
          <w:tab w:pos="9360" w:val="right"/>
        </w:tabs>
      </w:pPr>
      <w:r>
        <w:t>Peer Tutoring Center</w:t>
      </w:r>
      <w:r>
        <w:rPr>
          <w:b w:val="0"/>
        </w:rPr>
        <w:t>, Baltimore, MD</w:t>
      </w:r>
      <w:r>
        <w:rPr>
          <w:b w:val="0"/>
        </w:rPr>
        <w:t xml:space="preserve">  —  </w:t>
      </w:r>
      <w:r>
        <w:rPr>
          <w:b w:val="0"/>
          <w:i/>
        </w:rPr>
        <w:t>Organic Chemistry Tutor</w:t>
      </w:r>
      <w:r>
        <w:tab/>
      </w:r>
      <w:r>
        <w:rPr>
          <w:b w:val="0"/>
        </w:rPr>
        <w:t>Jan 2025 – Present</w:t>
      </w:r>
    </w:p>
    <w:p>
      <w:pPr>
        <w:pStyle w:val="ResumeBullet"/>
      </w:pPr>
      <w:r>
        <w:t>Tutor 15 students weekly; average exam score of tutees rose by 9 points.</w:t>
      </w:r>
    </w:p>
    <w:p>
      <w:pPr>
        <w:pStyle w:val="SectionHeading"/>
        <w:pBdr>
          <w:bottom w:val="single" w:sz="6" w:space="1" w:color="000000"/>
        </w:pBdr>
      </w:pPr>
      <w:r>
        <w:t>Skills &amp; Interests</w:t>
      </w:r>
    </w:p>
    <w:p>
      <w:pPr>
        <w:pStyle w:val="BodyText"/>
      </w:pPr>
      <w:r>
        <w:rPr>
          <w:b/>
          <w:bCs/>
        </w:rPr>
        <w:t xml:space="preserve">Laboratory: </w:t>
      </w:r>
      <w:r>
        <w:t>CRISPR-Cas9, cell culture, qPCR, Western blot, flow cytometry</w:t>
      </w:r>
    </w:p>
    <w:p>
      <w:pPr>
        <w:pStyle w:val="BodyText"/>
      </w:pPr>
      <w:r>
        <w:rPr>
          <w:b/>
          <w:bCs/>
        </w:rPr>
        <w:t xml:space="preserve">Certifications: </w:t>
      </w:r>
      <w:r>
        <w:t>BLS (AHA), CITI Human Subjects Research</w:t>
      </w:r>
    </w:p>
    <w:p>
      <w:pPr>
        <w:pStyle w:val="BodyText"/>
      </w:pPr>
      <w:r>
        <w:rPr>
          <w:b/>
          <w:bCs/>
        </w:rPr>
        <w:t xml:space="preserve">Languages: </w:t>
      </w:r>
      <w:r>
        <w:t>English (native), Spanish (conversational)</w:t>
      </w:r>
    </w:p>
    <w:p>
      <w:pPr>
        <w:pStyle w:val="BodyText"/>
      </w:pPr>
      <w:r>
        <w:rPr>
          <w:b/>
          <w:bCs/>
        </w:rPr>
        <w:t xml:space="preserve">Interests: </w:t>
      </w:r>
      <w:r>
        <w:t>Trail running, watercolor, community choir</w:t>
      </w:r>
    </w:p>
    <w:sectPr w:rsidR="00FC693F" w:rsidRPr="0006063C" w:rsidSect="00034616">
      <w:pgSz w:w="12240" w:h="15840"/>
      <w:pgMar w:top="1440" w:right="1440" w:bottom="1440" w:left="144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▪"/>
      <w:lvlJc w:val="left"/>
      <w:pPr>
        <w:ind w:left="312" w:hanging="227"/>
      </w:pPr>
      <w:rPr>
        <w:rFonts w:ascii="Arial" w:hAnsi="Arial" w:cs="Arial" w:hint="default"/>
        <w:color w:val="00000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hAnsi="Cambria" w:eastAsia="Cambria" w:cs="Cambria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77" w:lineRule="auto"/>
    </w:pPr>
    <w:rPr>
      <w:rFonts w:ascii="Cambria" w:hAnsi="Cambria" w:eastAsia="Cambria" w:cs="Cambria"/>
      <w:color w:val="000000"/>
      <w:sz w:val="23"/>
      <w:szCs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20" w:before="0" w:line="277" w:lineRule="auto"/>
    </w:pPr>
    <w:rPr>
      <w:rFonts w:ascii="Cambria" w:hAnsi="Cambria" w:eastAsia="Cambria" w:cs="Cambria"/>
      <w:b w:val="0"/>
      <w:i w:val="0"/>
      <w:caps w:val="0"/>
      <w:smallCaps w:val="0"/>
      <w:color w:val="000000"/>
      <w:sz w:val="23"/>
      <w:szCs w:val="23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20" w:line="240" w:lineRule="auto"/>
      <w:jc w:val="center"/>
    </w:pPr>
    <w:rPr>
      <w:rFonts w:ascii="Cambria" w:hAnsi="Cambria" w:eastAsia="Cambria" w:cs="Cambria"/>
      <w:b/>
      <w:bCs/>
      <w:i w:val="0"/>
      <w:caps w:val="0"/>
      <w:smallCaps w:val="0"/>
      <w:color w:val="000000"/>
      <w:sz w:val="52"/>
      <w:szCs w:val="52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/>
      <w:jc w:val="center"/>
    </w:pPr>
    <w:rPr>
      <w:rFonts w:ascii="Cambria" w:hAnsi="Cambria" w:eastAsia="Cambria" w:cs="Cambria"/>
      <w:b w:val="0"/>
      <w:i w:val="0"/>
      <w:caps w:val="0"/>
      <w:smallCaps w:val="0"/>
      <w:color w:val="000000"/>
      <w:sz w:val="22"/>
      <w:szCs w:val="22"/>
    </w:rPr>
  </w:style>
  <w:style w:type="paragraph" w:customStyle="1" w:styleId="SectionHeading">
    <w:name w:val="Section Heading"/>
    <w:basedOn w:val="Normal"/>
    <w:qFormat/>
    <w:pPr>
      <w:keepNext/>
      <w:widowControl/>
      <w:spacing w:before="220" w:after="60"/>
    </w:pPr>
    <w:rPr>
      <w:rFonts w:ascii="Cambria" w:hAnsi="Cambria" w:eastAsia="Cambria" w:cs="Cambria"/>
      <w:b/>
      <w:bCs/>
      <w:i w:val="0"/>
      <w:caps w:val="0"/>
      <w:smallCaps/>
      <w:color w:val="000000"/>
      <w:sz w:val="24"/>
      <w:szCs w:val="24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277" w:lineRule="auto"/>
    </w:pPr>
    <w:rPr>
      <w:rFonts w:ascii="Cambria" w:hAnsi="Cambria" w:eastAsia="Cambria" w:cs="Cambria"/>
      <w:b w:val="0"/>
      <w:i w:val="0"/>
      <w:caps w:val="0"/>
      <w:smallCaps w:val="0"/>
      <w:color w:val="000000"/>
      <w:sz w:val="23"/>
      <w:szCs w:val="23"/>
    </w:rPr>
  </w:style>
  <w:style w:type="paragraph" w:customStyle="1" w:styleId="EntryTitle">
    <w:name w:val="Entry Title"/>
    <w:basedOn w:val="Normal"/>
    <w:qFormat/>
    <w:pPr>
      <w:keepNext/>
      <w:widowControl/>
      <w:spacing w:before="147" w:after="0"/>
    </w:pPr>
    <w:rPr>
      <w:rFonts w:ascii="Cambria" w:hAnsi="Cambria" w:eastAsia="Cambria" w:cs="Cambria"/>
      <w:b/>
      <w:bCs/>
      <w:i w:val="0"/>
      <w:caps w:val="0"/>
      <w:smallCaps w:val="0"/>
      <w:color w:val="000000"/>
      <w:sz w:val="23"/>
      <w:szCs w:val="23"/>
    </w:rPr>
  </w:style>
  <w:style w:type="paragraph" w:customStyle="1" w:styleId="EntryMeta">
    <w:name w:val="Entry Meta"/>
    <w:basedOn w:val="Normal"/>
    <w:qFormat/>
    <w:pPr>
      <w:keepNext/>
      <w:widowControl/>
      <w:spacing w:before="0" w:after="20"/>
    </w:pPr>
    <w:rPr>
      <w:rFonts w:ascii="Cambria" w:hAnsi="Cambria" w:eastAsia="Cambria" w:cs="Cambria"/>
      <w:b w:val="0"/>
      <w:i/>
      <w:caps w:val="0"/>
      <w:smallCaps w:val="0"/>
      <w:color w:val="000000"/>
      <w:sz w:val="23"/>
      <w:szCs w:val="23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12" w:line="277" w:lineRule="auto"/>
      <w:ind w:left="312" w:hanging="227"/>
    </w:pPr>
    <w:rPr>
      <w:rFonts w:ascii="Cambria" w:hAnsi="Cambria" w:eastAsia="Cambria" w:cs="Cambria"/>
      <w:b w:val="0"/>
      <w:i w:val="0"/>
      <w:caps w:val="0"/>
      <w:smallCaps w:val="0"/>
      <w:color w:val="000000"/>
      <w:sz w:val="23"/>
      <w:szCs w:val="23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Ivy Quad Press — Resume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