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Olivia M. Hart</w:t>
      </w:r>
    </w:p>
    <w:p>
      <w:pPr>
        <w:pStyle w:val="Contact"/>
      </w:pPr>
      <w:r>
        <w:t>Baltimore, MD</w:t>
      </w:r>
      <w:r>
        <w:t xml:space="preserve"> — </w:t>
      </w:r>
      <w:r>
        <w:t>(410) 555-0113</w:t>
      </w:r>
      <w:r>
        <w:t xml:space="preserve"> — </w:t>
      </w:r>
      <w:r>
        <w:t>olivia.hart@college.edu</w:t>
      </w:r>
    </w:p>
    <w:p>
      <w:pPr>
        <w:pStyle w:val="SectionHeading"/>
      </w:pPr>
      <w:r>
        <w:t>Education</w:t>
      </w:r>
    </w:p>
    <w:p>
      <w:pPr>
        <w:pStyle w:val="EntryTitle"/>
        <w:tabs>
          <w:tab w:pos="10086" w:val="right"/>
        </w:tabs>
      </w:pPr>
      <w:r>
        <w:t>Hollins University</w:t>
      </w:r>
      <w:r>
        <w:tab/>
      </w:r>
      <w:r>
        <w:rPr>
          <w:b w:val="0"/>
        </w:rPr>
        <w:t>May 2027</w:t>
      </w:r>
    </w:p>
    <w:p>
      <w:pPr>
        <w:pStyle w:val="EntryMeta"/>
      </w:pPr>
      <w:r>
        <w:t>B.S. in Molecular Biology, Minor in Public Health</w:t>
      </w:r>
      <w:r>
        <w:rPr>
          <w:i w:val="0"/>
        </w:rPr>
        <w:t>, Baltimore, MD</w:t>
      </w:r>
    </w:p>
    <w:p>
      <w:pPr>
        <w:pStyle w:val="BodyText"/>
      </w:pPr>
      <w:r>
        <w:rPr>
          <w:b w:val="0"/>
          <w:i/>
        </w:rPr>
        <w:t>GPA:</w:t>
      </w:r>
      <w:r>
        <w:t xml:space="preserve"> 3.94/4.00; Science GPA: 3.96; University Scholar</w:t>
      </w:r>
    </w:p>
    <w:p>
      <w:pPr>
        <w:pStyle w:val="BodyText"/>
      </w:pPr>
      <w:r>
        <w:rPr>
          <w:b w:val="0"/>
          <w:i/>
        </w:rPr>
        <w:t>Relevant Coursework:</w:t>
      </w:r>
      <w:r>
        <w:t xml:space="preserve"> Biochemistry, Genetics, Organic Chemistry I–II, Physiology, Biostatistics</w:t>
      </w:r>
    </w:p>
    <w:p>
      <w:pPr>
        <w:pStyle w:val="SectionHeading"/>
      </w:pPr>
      <w:r>
        <w:t>Research</w:t>
      </w:r>
    </w:p>
    <w:p>
      <w:pPr>
        <w:pStyle w:val="EntryTitle"/>
        <w:tabs>
          <w:tab w:pos="10086" w:val="right"/>
        </w:tabs>
      </w:pPr>
      <w:r>
        <w:t>Riverstone Research Institute</w:t>
      </w:r>
      <w:r>
        <w:tab/>
      </w:r>
      <w:r>
        <w:rPr>
          <w:b w:val="0"/>
        </w:rPr>
        <w:t>Jun 2026 – Aug 2026</w:t>
      </w:r>
    </w:p>
    <w:p>
      <w:pPr>
        <w:pStyle w:val="EntryMeta"/>
      </w:pPr>
      <w:r>
        <w:t>Summer Research Fellow</w:t>
      </w:r>
      <w:r>
        <w:rPr>
          <w:i w:val="0"/>
        </w:rPr>
        <w:t>, Baltimore, MD</w:t>
      </w:r>
    </w:p>
    <w:p>
      <w:pPr>
        <w:pStyle w:val="ResumeBullet"/>
      </w:pPr>
      <w:r>
        <w:t>Characterized drug-tolerant persister cells using single-cell RNA sequencing data.</w:t>
      </w:r>
    </w:p>
    <w:p>
      <w:pPr>
        <w:pStyle w:val="SectionHeading"/>
      </w:pPr>
      <w:r>
        <w:t>Experience</w:t>
      </w:r>
    </w:p>
    <w:p>
      <w:pPr>
        <w:pStyle w:val="EntryTitle"/>
        <w:tabs>
          <w:tab w:pos="10086" w:val="right"/>
        </w:tabs>
      </w:pPr>
      <w:r>
        <w:t>Riverstone Research Institute</w:t>
      </w:r>
      <w:r>
        <w:tab/>
      </w:r>
      <w:r>
        <w:rPr>
          <w:b w:val="0"/>
        </w:rPr>
        <w:t>Jan 2025 – Present</w:t>
      </w:r>
    </w:p>
    <w:p>
      <w:pPr>
        <w:pStyle w:val="EntryMeta"/>
      </w:pPr>
      <w:r>
        <w:t>Undergraduate Researcher, Oncology Lab</w:t>
      </w:r>
      <w:r>
        <w:rPr>
          <w:i w:val="0"/>
        </w:rPr>
        <w:t>, Baltimore, MD</w:t>
      </w:r>
    </w:p>
    <w:p>
      <w:pPr>
        <w:pStyle w:val="ResumeBullet"/>
      </w:pPr>
      <w:r>
        <w:t>Run CRISPR knockout screens in breast-cancer cell lines; identified two candidate resistance genes.</w:t>
      </w:r>
    </w:p>
    <w:p>
      <w:pPr>
        <w:pStyle w:val="ResumeBullet"/>
      </w:pPr>
      <w:r>
        <w:t>Present monthly at lab meetings; second author on a manuscript in preparation.</w:t>
      </w:r>
    </w:p>
    <w:p>
      <w:pPr>
        <w:pStyle w:val="EntryTitle"/>
        <w:tabs>
          <w:tab w:pos="10086" w:val="right"/>
        </w:tabs>
      </w:pPr>
      <w:r>
        <w:t>Riverstone Hospital Emergency Department</w:t>
      </w:r>
      <w:r>
        <w:tab/>
      </w:r>
      <w:r>
        <w:rPr>
          <w:b w:val="0"/>
        </w:rPr>
        <w:t>Sep 2024 – Present</w:t>
      </w:r>
    </w:p>
    <w:p>
      <w:pPr>
        <w:pStyle w:val="EntryMeta"/>
      </w:pPr>
      <w:r>
        <w:t>Patient Care Volunteer</w:t>
      </w:r>
      <w:r>
        <w:rPr>
          <w:i w:val="0"/>
        </w:rPr>
        <w:t>, Baltimore, MD</w:t>
      </w:r>
    </w:p>
    <w:p>
      <w:pPr>
        <w:pStyle w:val="ResumeBullet"/>
      </w:pPr>
      <w:r>
        <w:t>Support nurses and patients during 4-hour weekly shifts; 300+ volunteer hours.</w:t>
      </w:r>
    </w:p>
    <w:p>
      <w:pPr>
        <w:pStyle w:val="EntryTitle"/>
        <w:tabs>
          <w:tab w:pos="10086" w:val="right"/>
        </w:tabs>
      </w:pPr>
      <w:r>
        <w:t>Community Health Clinic</w:t>
      </w:r>
      <w:r>
        <w:tab/>
      </w:r>
      <w:r>
        <w:rPr>
          <w:b w:val="0"/>
        </w:rPr>
        <w:t>Jun 2025 – Aug 2025</w:t>
      </w:r>
    </w:p>
    <w:p>
      <w:pPr>
        <w:pStyle w:val="EntryMeta"/>
      </w:pPr>
      <w:r>
        <w:t>Medical Scribe</w:t>
      </w:r>
      <w:r>
        <w:rPr>
          <w:i w:val="0"/>
        </w:rPr>
        <w:t>, Baltimore, MD</w:t>
      </w:r>
    </w:p>
    <w:p>
      <w:pPr>
        <w:pStyle w:val="ResumeBullet"/>
      </w:pPr>
      <w:r>
        <w:t>Documented 25+ patient encounters per shift in the clinic EHR for two attending physicians.</w:t>
      </w:r>
    </w:p>
    <w:p>
      <w:pPr>
        <w:pStyle w:val="SectionHeading"/>
      </w:pPr>
      <w:r>
        <w:t>Leadership &amp; Activities</w:t>
      </w:r>
    </w:p>
    <w:p>
      <w:pPr>
        <w:pStyle w:val="EntryTitle"/>
        <w:tabs>
          <w:tab w:pos="10086" w:val="right"/>
        </w:tabs>
      </w:pPr>
      <w:r>
        <w:t>Hollins Health Equity Project</w:t>
      </w:r>
      <w:r>
        <w:tab/>
      </w:r>
      <w:r>
        <w:rPr>
          <w:b w:val="0"/>
        </w:rPr>
        <w:t>Sep 2024 – Present</w:t>
      </w:r>
    </w:p>
    <w:p>
      <w:pPr>
        <w:pStyle w:val="EntryMeta"/>
      </w:pPr>
      <w:r>
        <w:t>Co-Founder</w:t>
      </w:r>
      <w:r>
        <w:rPr>
          <w:i w:val="0"/>
        </w:rPr>
        <w:t>, Baltimore, MD</w:t>
      </w:r>
    </w:p>
    <w:p>
      <w:pPr>
        <w:pStyle w:val="ResumeBullet"/>
      </w:pPr>
      <w:r>
        <w:t>Organize free blood-pressure screenings reaching 900 residents across 12 neighborhoods.</w:t>
      </w:r>
    </w:p>
    <w:p>
      <w:pPr>
        <w:pStyle w:val="EntryTitle"/>
        <w:tabs>
          <w:tab w:pos="10086" w:val="right"/>
        </w:tabs>
      </w:pPr>
      <w:r>
        <w:t>Peer Tutoring Center</w:t>
      </w:r>
      <w:r>
        <w:tab/>
      </w:r>
      <w:r>
        <w:rPr>
          <w:b w:val="0"/>
        </w:rPr>
        <w:t>Jan 2025 – Present</w:t>
      </w:r>
    </w:p>
    <w:p>
      <w:pPr>
        <w:pStyle w:val="EntryMeta"/>
      </w:pPr>
      <w:r>
        <w:t>Organic Chemistry Tutor</w:t>
      </w:r>
      <w:r>
        <w:rPr>
          <w:i w:val="0"/>
        </w:rPr>
        <w:t>, Baltimore, MD</w:t>
      </w:r>
    </w:p>
    <w:p>
      <w:pPr>
        <w:pStyle w:val="ResumeBullet"/>
      </w:pPr>
      <w:r>
        <w:t>Tutor 15 students weekly; average exam score of tutees rose by 9 points.</w:t>
      </w:r>
    </w:p>
    <w:p>
      <w:pPr>
        <w:pStyle w:val="SectionHeading"/>
      </w:pPr>
      <w:r>
        <w:t>Projects &amp; Service</w:t>
      </w:r>
    </w:p>
    <w:p>
      <w:pPr>
        <w:pStyle w:val="EntryTitle"/>
        <w:tabs>
          <w:tab w:pos="10086" w:val="right"/>
        </w:tabs>
      </w:pPr>
      <w:r>
        <w:t>Global Health Brigade</w:t>
      </w:r>
      <w:r>
        <w:tab/>
      </w:r>
      <w:r>
        <w:rPr>
          <w:b w:val="0"/>
        </w:rPr>
        <w:t>Jan 2025</w:t>
      </w:r>
    </w:p>
    <w:p>
      <w:pPr>
        <w:pStyle w:val="EntryMeta"/>
      </w:pPr>
      <w:r>
        <w:t>Volunteer Coordinator</w:t>
      </w:r>
      <w:r>
        <w:rPr>
          <w:i w:val="0"/>
        </w:rPr>
        <w:t>, Guatemala</w:t>
      </w:r>
    </w:p>
    <w:p>
      <w:pPr>
        <w:pStyle w:val="ResumeBullet"/>
      </w:pPr>
      <w:r>
        <w:t>Coordinated a 10-day mobile clinic serving 600 patients with a 30-member student team.</w:t>
      </w:r>
    </w:p>
    <w:p>
      <w:pPr>
        <w:pStyle w:val="EntryTitle"/>
        <w:tabs>
          <w:tab w:pos="10086" w:val="right"/>
        </w:tabs>
      </w:pPr>
      <w:r>
        <w:t>Hollins Science Outreach</w:t>
      </w:r>
      <w:r>
        <w:tab/>
      </w:r>
      <w:r>
        <w:rPr>
          <w:b w:val="0"/>
        </w:rPr>
        <w:t>2024 – Present</w:t>
      </w:r>
    </w:p>
    <w:p>
      <w:pPr>
        <w:pStyle w:val="EntryMeta"/>
      </w:pPr>
      <w:r>
        <w:t>Mentor</w:t>
      </w:r>
      <w:r>
        <w:rPr>
          <w:i w:val="0"/>
        </w:rPr>
        <w:t>, Baltimore, MD</w:t>
      </w:r>
    </w:p>
    <w:p>
      <w:pPr>
        <w:pStyle w:val="ResumeBullet"/>
      </w:pPr>
      <w:r>
        <w:t>Run hands-on biology labs for middle-school students at three partner schools.</w:t>
      </w:r>
    </w:p>
    <w:p>
      <w:pPr>
        <w:pStyle w:val="SectionHeading"/>
      </w:pPr>
      <w:r>
        <w:t>Publications &amp; Presentations</w:t>
      </w:r>
    </w:p>
    <w:p>
      <w:pPr>
        <w:pStyle w:val="BodyText"/>
        <w:ind w:left="340" w:right="0" w:hanging="340"/>
      </w:pPr>
      <w:r>
        <w:t>Nguyen, T., Hart, O. M., &amp; Brooks, R. (2026). Persister states in HER2+ breast cancer. Manuscript in preparation.</w:t>
      </w:r>
    </w:p>
    <w:p>
      <w:pPr>
        <w:pStyle w:val="BodyText"/>
        <w:ind w:left="340" w:right="0" w:hanging="340"/>
      </w:pPr>
      <w:r>
        <w:t>Hart, O. M. (2025). CRISPR screening for resistance genes. University Research Day, poster.</w:t>
      </w:r>
    </w:p>
    <w:p>
      <w:pPr>
        <w:pStyle w:val="SectionHeading"/>
      </w:pPr>
      <w:r>
        <w:t>Honors &amp; Awards</w:t>
      </w:r>
    </w:p>
    <w:p>
      <w:pPr>
        <w:pStyle w:val="ResumeBullet"/>
      </w:pPr>
      <w:r>
        <w:t>University Scholar (2024–2027)</w:t>
      </w:r>
    </w:p>
    <w:p>
      <w:pPr>
        <w:pStyle w:val="ResumeBullet"/>
      </w:pPr>
      <w:r>
        <w:t>Summer Undergraduate Research Fellowship (2026)</w:t>
      </w:r>
    </w:p>
    <w:p>
      <w:pPr>
        <w:pStyle w:val="SectionHeading"/>
      </w:pPr>
      <w:r>
        <w:t>Skills &amp; Interests</w:t>
      </w:r>
    </w:p>
    <w:p>
      <w:pPr>
        <w:pStyle w:val="BodyText"/>
      </w:pPr>
      <w:r>
        <w:rPr>
          <w:b/>
          <w:bCs/>
        </w:rPr>
        <w:t xml:space="preserve">Laboratory: </w:t>
      </w:r>
      <w:r>
        <w:t>CRISPR-Cas9, cell culture, qPCR, Western blot, flow cytometry</w:t>
      </w:r>
    </w:p>
    <w:p>
      <w:pPr>
        <w:pStyle w:val="BodyText"/>
      </w:pPr>
      <w:r>
        <w:rPr>
          <w:b/>
          <w:bCs/>
        </w:rPr>
        <w:t xml:space="preserve">Certifications: </w:t>
      </w:r>
      <w:r>
        <w:t>BLS (AHA), CITI Human Subjects Research</w:t>
      </w:r>
    </w:p>
    <w:p>
      <w:pPr>
        <w:pStyle w:val="BodyText"/>
      </w:pPr>
      <w:r>
        <w:rPr>
          <w:b/>
          <w:bCs/>
        </w:rPr>
        <w:t xml:space="preserve">Languages: </w:t>
      </w:r>
      <w:r>
        <w:t>English (native), Spanish (conversational)</w:t>
      </w:r>
    </w:p>
    <w:p>
      <w:pPr>
        <w:pStyle w:val="BodyText"/>
      </w:pPr>
      <w:r>
        <w:rPr>
          <w:b/>
          <w:bCs/>
        </w:rPr>
        <w:t xml:space="preserve">Interests: </w:t>
      </w:r>
      <w:r>
        <w:t>Trail running, watercolor, community choir</w:t>
      </w:r>
    </w:p>
    <w:sectPr w:rsidR="00FC693F" w:rsidRPr="0006063C" w:rsidSect="00034616">
      <w:pgSz w:w="12240" w:h="15840"/>
      <w:pgMar w:top="1077" w:right="1077" w:bottom="1077" w:left="107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312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Open Sans" w:hAnsi="Open Sans" w:eastAsia="Open Sans" w:cs="Open Sans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1" w:lineRule="auto"/>
    </w:pPr>
    <w:rPr>
      <w:rFonts w:ascii="Open Sans" w:hAnsi="Open Sans" w:eastAsia="Open Sans" w:cs="Open Sans"/>
      <w:color w:val="000000"/>
      <w:sz w:val="21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71" w:lineRule="auto"/>
    </w:pPr>
    <w:rPr>
      <w:rFonts w:ascii="Open Sans" w:hAnsi="Open Sans" w:eastAsia="Open Sans" w:cs="Open Sans"/>
      <w:b w:val="0"/>
      <w:i w:val="0"/>
      <w:caps w:val="0"/>
      <w:smallCaps w:val="0"/>
      <w:color w:val="000000"/>
      <w:sz w:val="21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20" w:line="240" w:lineRule="auto"/>
      <w:jc w:val="center"/>
    </w:pPr>
    <w:rPr>
      <w:rFonts w:ascii="Libre Baskerville" w:hAnsi="Libre Baskerville" w:eastAsia="Libre Baskerville" w:cs="Libre Baskerville"/>
      <w:b/>
      <w:bCs/>
      <w:i w:val="0"/>
      <w:caps w:val="0"/>
      <w:smallCaps/>
      <w:color w:val="000000"/>
      <w:spacing w:val="30"/>
      <w:sz w:val="48"/>
      <w:szCs w:val="48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center"/>
    </w:pPr>
    <w:rPr>
      <w:rFonts w:ascii="Open Sans" w:hAnsi="Open Sans" w:eastAsia="Open Sans" w:cs="Open Sans"/>
      <w:b w:val="0"/>
      <w:i w:val="0"/>
      <w:caps w:val="0"/>
      <w:smallCaps w:val="0"/>
      <w:color w:val="000000"/>
      <w:sz w:val="20"/>
      <w:szCs w:val="20"/>
    </w:rPr>
  </w:style>
  <w:style w:type="paragraph" w:customStyle="1" w:styleId="SectionHeading">
    <w:name w:val="Section Heading"/>
    <w:basedOn w:val="Normal"/>
    <w:qFormat/>
    <w:pPr>
      <w:keepNext/>
      <w:widowControl/>
      <w:spacing w:before="276" w:after="60"/>
    </w:pPr>
    <w:rPr>
      <w:rFonts w:ascii="Open Sans" w:hAnsi="Open Sans" w:eastAsia="Open Sans" w:cs="Open Sans"/>
      <w:b/>
      <w:bCs/>
      <w:i w:val="0"/>
      <w:caps/>
      <w:smallCaps w:val="0"/>
      <w:color w:val="000000"/>
      <w:spacing w:val="50"/>
      <w:sz w:val="22"/>
      <w:szCs w:val="22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71" w:lineRule="auto"/>
    </w:pPr>
    <w:rPr>
      <w:rFonts w:ascii="Open Sans" w:hAnsi="Open Sans" w:eastAsia="Open Sans" w:cs="Open Sans"/>
      <w:b w:val="0"/>
      <w:i w:val="0"/>
      <w:caps w:val="0"/>
      <w:smallCaps w:val="0"/>
      <w:color w:val="000000"/>
      <w:sz w:val="21"/>
      <w:szCs w:val="22"/>
    </w:rPr>
  </w:style>
  <w:style w:type="paragraph" w:customStyle="1" w:styleId="EntryTitle">
    <w:name w:val="Entry Title"/>
    <w:basedOn w:val="Normal"/>
    <w:qFormat/>
    <w:pPr>
      <w:keepNext/>
      <w:widowControl/>
      <w:spacing w:before="184" w:after="0"/>
    </w:pPr>
    <w:rPr>
      <w:rFonts w:ascii="Open Sans" w:hAnsi="Open Sans" w:eastAsia="Open Sans" w:cs="Open Sans"/>
      <w:b/>
      <w:bCs/>
      <w:i w:val="0"/>
      <w:caps w:val="0"/>
      <w:smallCaps w:val="0"/>
      <w:color w:val="000000"/>
      <w:sz w:val="21"/>
      <w:szCs w:val="22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Open Sans" w:hAnsi="Open Sans" w:eastAsia="Open Sans" w:cs="Open Sans"/>
      <w:b w:val="0"/>
      <w:i/>
      <w:caps w:val="0"/>
      <w:smallCaps w:val="0"/>
      <w:color w:val="000000"/>
      <w:sz w:val="21"/>
      <w:szCs w:val="22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12" w:line="271" w:lineRule="auto"/>
      <w:ind w:left="312" w:hanging="227"/>
    </w:pPr>
    <w:rPr>
      <w:rFonts w:ascii="Open Sans" w:hAnsi="Open Sans" w:eastAsia="Open Sans" w:cs="Open Sans"/>
      <w:b w:val="0"/>
      <w:i w:val="0"/>
      <w:caps w:val="0"/>
      <w:smallCaps w:val="0"/>
      <w:color w:val="000000"/>
      <w:sz w:val="21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Ivy Beacon Edition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