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Daniel Okafor</w:t>
      </w:r>
    </w:p>
    <w:p>
      <w:pPr>
        <w:pStyle w:val="Contact"/>
      </w:pPr>
      <w:r>
        <w:t>Washington, DC</w:t>
      </w:r>
      <w:r>
        <w:t xml:space="preserve">  •  </w:t>
      </w:r>
      <w:r>
        <w:t>(202) 555-0167</w:t>
      </w:r>
      <w:r>
        <w:t xml:space="preserve">  •  </w:t>
      </w:r>
      <w:r>
        <w:t>daniel.okafor@email.com</w:t>
      </w:r>
      <w:r>
        <w:t xml:space="preserve">  •  </w:t>
      </w:r>
      <w:r>
        <w:t>linkedin.com/in/danielokafor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Education</w:t>
      </w:r>
    </w:p>
    <w:p>
      <w:pPr>
        <w:pStyle w:val="EntryTitle"/>
        <w:tabs>
          <w:tab w:pos="9746" w:val="right"/>
        </w:tabs>
      </w:pPr>
      <w:r>
        <w:t>Larchmont School of Law</w:t>
      </w:r>
      <w:r>
        <w:tab/>
      </w:r>
      <w:r>
        <w:rPr>
          <w:b w:val="0"/>
        </w:rPr>
        <w:t>Washington, DC</w:t>
      </w:r>
    </w:p>
    <w:p>
      <w:pPr>
        <w:pStyle w:val="EntryMeta"/>
        <w:tabs>
          <w:tab w:pos="9746" w:val="right"/>
        </w:tabs>
      </w:pPr>
      <w:r>
        <w:t>Juris Doctor Candidate</w:t>
      </w:r>
      <w:r>
        <w:tab/>
      </w:r>
      <w:r>
        <w:rPr>
          <w:i w:val="0"/>
        </w:rPr>
        <w:t>May 2027</w:t>
      </w:r>
    </w:p>
    <w:p>
      <w:pPr>
        <w:pStyle w:val="BodyText"/>
      </w:pPr>
      <w:r>
        <w:t>Larchmont Law Review, Articles Editor; Dean's Fellow</w:t>
      </w:r>
    </w:p>
    <w:p>
      <w:pPr>
        <w:pStyle w:val="BodyText"/>
      </w:pPr>
      <w:r>
        <w:rPr>
          <w:b/>
          <w:bCs/>
          <w:i w:val="0"/>
        </w:rPr>
        <w:t>Honors:</w:t>
      </w:r>
      <w:r>
        <w:t xml:space="preserve"> CALI Award in Constitutional Law; Moot Court semi-finalist</w:t>
      </w:r>
    </w:p>
    <w:p>
      <w:pPr>
        <w:pStyle w:val="EntryTitle"/>
        <w:tabs>
          <w:tab w:pos="9746" w:val="right"/>
        </w:tabs>
      </w:pPr>
      <w:r>
        <w:t>Whitmore College</w:t>
      </w:r>
      <w:r>
        <w:tab/>
      </w:r>
      <w:r>
        <w:rPr>
          <w:b w:val="0"/>
        </w:rPr>
        <w:t>New Haven, CT</w:t>
      </w:r>
    </w:p>
    <w:p>
      <w:pPr>
        <w:pStyle w:val="EntryMeta"/>
        <w:tabs>
          <w:tab w:pos="9746" w:val="right"/>
        </w:tabs>
      </w:pPr>
      <w:r>
        <w:t>B.A. in Political Science, magna cum laude</w:t>
      </w:r>
      <w:r>
        <w:tab/>
      </w:r>
      <w:r>
        <w:rPr>
          <w:i w:val="0"/>
        </w:rPr>
        <w:t>May 2023</w:t>
      </w:r>
    </w:p>
    <w:p>
      <w:pPr>
        <w:pStyle w:val="BodyText"/>
      </w:pPr>
      <w:r>
        <w:rPr>
          <w:b/>
          <w:bCs/>
          <w:i w:val="0"/>
        </w:rPr>
        <w:t>Senior thesis:</w:t>
      </w:r>
      <w:r>
        <w:t xml:space="preserve"> Judicial review in new democracies (highest honors)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Experience</w:t>
      </w:r>
    </w:p>
    <w:p>
      <w:pPr>
        <w:pStyle w:val="EntryTitle"/>
        <w:tabs>
          <w:tab w:pos="9746" w:val="right"/>
        </w:tabs>
      </w:pPr>
      <w:r>
        <w:t>Vantage Point Legal LLP</w:t>
      </w:r>
      <w:r>
        <w:tab/>
      </w:r>
      <w:r>
        <w:rPr>
          <w:b w:val="0"/>
        </w:rPr>
        <w:t>New York, NY</w:t>
      </w:r>
    </w:p>
    <w:p>
      <w:pPr>
        <w:pStyle w:val="EntryMeta"/>
        <w:tabs>
          <w:tab w:pos="9746" w:val="right"/>
        </w:tabs>
      </w:pPr>
      <w:r>
        <w:t>Summer Associate</w:t>
      </w:r>
      <w:r>
        <w:tab/>
      </w:r>
      <w:r>
        <w:rPr>
          <w:i w:val="0"/>
        </w:rPr>
        <w:t>Jun 2026 – Aug 2026</w:t>
      </w:r>
    </w:p>
    <w:p>
      <w:pPr>
        <w:pStyle w:val="ResumeBullet"/>
      </w:pPr>
      <w:r>
        <w:t>Drafted research memoranda on securities disclosure and merger-agreement indemnities.</w:t>
      </w:r>
    </w:p>
    <w:p>
      <w:pPr>
        <w:pStyle w:val="ResumeBullet"/>
      </w:pPr>
      <w:r>
        <w:t>Assisted on due diligence for a $1.2B cross-border acquisition.</w:t>
      </w:r>
    </w:p>
    <w:p>
      <w:pPr>
        <w:pStyle w:val="EntryTitle"/>
        <w:tabs>
          <w:tab w:pos="9746" w:val="right"/>
        </w:tabs>
      </w:pPr>
      <w:r>
        <w:t>Office of the State Public Defender</w:t>
      </w:r>
      <w:r>
        <w:tab/>
      </w:r>
      <w:r>
        <w:rPr>
          <w:b w:val="0"/>
        </w:rPr>
        <w:t>Washington, DC</w:t>
      </w:r>
    </w:p>
    <w:p>
      <w:pPr>
        <w:pStyle w:val="EntryMeta"/>
        <w:tabs>
          <w:tab w:pos="9746" w:val="right"/>
        </w:tabs>
      </w:pPr>
      <w:r>
        <w:t>Law Clerk</w:t>
      </w:r>
      <w:r>
        <w:tab/>
      </w:r>
      <w:r>
        <w:rPr>
          <w:i w:val="0"/>
        </w:rPr>
        <w:t>Jun 2025 – Aug 2025</w:t>
      </w:r>
    </w:p>
    <w:p>
      <w:pPr>
        <w:pStyle w:val="ResumeBullet"/>
      </w:pPr>
      <w:r>
        <w:t>Researched suppression motions and drafted three briefs filed in trial court.</w:t>
      </w:r>
    </w:p>
    <w:p>
      <w:pPr>
        <w:pStyle w:val="ResumeBullet"/>
      </w:pPr>
      <w:r>
        <w:t>Interviewed 20 clients and prepared case summaries for supervising attorneys.</w:t>
      </w:r>
    </w:p>
    <w:p>
      <w:pPr>
        <w:pStyle w:val="EntryTitle"/>
        <w:tabs>
          <w:tab w:pos="9746" w:val="right"/>
        </w:tabs>
      </w:pPr>
      <w:r>
        <w:t>Civic Futures Institute</w:t>
      </w:r>
      <w:r>
        <w:tab/>
      </w:r>
      <w:r>
        <w:rPr>
          <w:b w:val="0"/>
        </w:rPr>
        <w:t>Washington, DC</w:t>
      </w:r>
    </w:p>
    <w:p>
      <w:pPr>
        <w:pStyle w:val="EntryMeta"/>
        <w:tabs>
          <w:tab w:pos="9746" w:val="right"/>
        </w:tabs>
      </w:pPr>
      <w:r>
        <w:t>Policy Analyst</w:t>
      </w:r>
      <w:r>
        <w:tab/>
      </w:r>
      <w:r>
        <w:rPr>
          <w:i w:val="0"/>
        </w:rPr>
        <w:t>Aug 2023 – Jul 2024</w:t>
      </w:r>
    </w:p>
    <w:p>
      <w:pPr>
        <w:pStyle w:val="ResumeBullet"/>
      </w:pPr>
      <w:r>
        <w:t>Wrote 8 policy briefs on voting access; testified once before a city council committee.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Leadership &amp; Activities</w:t>
      </w:r>
    </w:p>
    <w:p>
      <w:pPr>
        <w:pStyle w:val="EntryTitle"/>
        <w:tabs>
          <w:tab w:pos="9746" w:val="right"/>
        </w:tabs>
      </w:pPr>
      <w:r>
        <w:t>Black Law Students Association</w:t>
      </w:r>
      <w:r>
        <w:tab/>
      </w:r>
      <w:r>
        <w:rPr>
          <w:b w:val="0"/>
        </w:rPr>
        <w:t>Washington, DC</w:t>
      </w:r>
    </w:p>
    <w:p>
      <w:pPr>
        <w:pStyle w:val="EntryMeta"/>
        <w:tabs>
          <w:tab w:pos="9746" w:val="right"/>
        </w:tabs>
      </w:pPr>
      <w:r>
        <w:t>Vice President</w:t>
      </w:r>
      <w:r>
        <w:tab/>
      </w:r>
      <w:r>
        <w:rPr>
          <w:i w:val="0"/>
        </w:rPr>
        <w:t>Sep 2025 – Present</w:t>
      </w:r>
    </w:p>
    <w:p>
      <w:pPr>
        <w:pStyle w:val="ResumeBullet"/>
      </w:pPr>
      <w:r>
        <w:t>Coordinate mentorship pairing 70 first-year students with alumni.</w:t>
      </w:r>
    </w:p>
    <w:p>
      <w:pPr>
        <w:pStyle w:val="SectionHeading"/>
        <w:pBdr>
          <w:top w:val="single" w:sz="4" w:space="2" w:color="000000"/>
          <w:bottom w:val="single" w:sz="4" w:space="2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Legal: </w:t>
      </w:r>
      <w:r>
        <w:t>Westlaw, Lexis, legal research and writing, contract drafting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 (native), Yoruba (fluent), French (intermediate)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Jazz piano, debate coaching, long-distance cycling</w:t>
      </w:r>
    </w:p>
    <w:sectPr w:rsidR="00FC693F" w:rsidRPr="0006063C" w:rsidSect="00034616">
      <w:pgSz w:w="12240" w:h="15840"/>
      <w:pgMar w:top="1247" w:right="1247" w:bottom="1247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" w:hAnsi="Roboto" w:eastAsia="Roboto" w:cs="Robo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Roboto" w:hAnsi="Roboto" w:eastAsia="Roboto" w:cs="Roboto"/>
      <w:color w:val="000000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Roboto" w:hAnsi="Roboto" w:eastAsia="Roboto" w:cs="Roboto"/>
      <w:b w:val="0"/>
      <w:i w:val="0"/>
      <w:caps w:val="0"/>
      <w:smallCaps w:val="0"/>
      <w:color w:val="000000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Roboto" w:hAnsi="Roboto" w:eastAsia="Roboto" w:cs="Roboto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Roboto" w:hAnsi="Roboto" w:eastAsia="Roboto" w:cs="Roboto"/>
      <w:b w:val="0"/>
      <w:i w:val="0"/>
      <w:caps w:val="0"/>
      <w:smallCaps w:val="0"/>
      <w:color w:val="000000"/>
      <w:sz w:val="22"/>
      <w:szCs w:val="22"/>
    </w:rPr>
  </w:style>
  <w:style w:type="paragraph" w:customStyle="1" w:styleId="SectionHeading">
    <w:name w:val="Section Heading"/>
    <w:basedOn w:val="Normal"/>
    <w:qFormat/>
    <w:pPr>
      <w:keepNext/>
      <w:widowControl/>
      <w:spacing w:before="286" w:after="60"/>
      <w:jc w:val="center"/>
    </w:pPr>
    <w:rPr>
      <w:rFonts w:ascii="Roboto" w:hAnsi="Roboto" w:eastAsia="Roboto" w:cs="Roboto"/>
      <w:b w:val="0"/>
      <w:i w:val="0"/>
      <w:caps/>
      <w:smallCaps w:val="0"/>
      <w:color w:val="000000"/>
      <w:spacing w:val="4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Roboto" w:hAnsi="Roboto" w:eastAsia="Roboto" w:cs="Roboto"/>
      <w:b w:val="0"/>
      <w:i w:val="0"/>
      <w:caps w:val="0"/>
      <w:smallCaps w:val="0"/>
      <w:color w:val="000000"/>
      <w:sz w:val="23"/>
      <w:szCs w:val="23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0"/>
    </w:pPr>
    <w:rPr>
      <w:rFonts w:ascii="Roboto" w:hAnsi="Roboto" w:eastAsia="Roboto" w:cs="Roboto"/>
      <w:b/>
      <w:bCs/>
      <w:i w:val="0"/>
      <w:caps w:val="0"/>
      <w:smallCaps w:val="0"/>
      <w:color w:val="000000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Roboto" w:hAnsi="Roboto" w:eastAsia="Roboto" w:cs="Roboto"/>
      <w:b w:val="0"/>
      <w:i/>
      <w:caps w:val="0"/>
      <w:smallCaps w:val="0"/>
      <w:color w:val="000000"/>
      <w:sz w:val="23"/>
      <w:szCs w:val="23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Roboto" w:hAnsi="Roboto" w:eastAsia="Roboto" w:cs="Roboto"/>
      <w:b w:val="0"/>
      <w:i w:val="0"/>
      <w:caps w:val="0"/>
      <w:smallCaps w:val="0"/>
      <w:color w:val="000000"/>
      <w:sz w:val="23"/>
      <w:szCs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Linden Column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