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Ananya Krishnan</w:t>
      </w:r>
    </w:p>
    <w:p>
      <w:pPr>
        <w:pStyle w:val="Contact"/>
      </w:pPr>
      <w:r>
        <w:t>New Haven, CT</w:t>
      </w:r>
      <w:r>
        <w:t xml:space="preserve">  •  </w:t>
      </w:r>
      <w:r>
        <w:t>(203) 555-0188</w:t>
      </w:r>
      <w:r>
        <w:t xml:space="preserve">  •  </w:t>
      </w:r>
      <w:r>
        <w:t>ananya.krishnan@college.edu</w:t>
      </w:r>
      <w:r>
        <w:t xml:space="preserve">  •  </w:t>
      </w:r>
      <w:r>
        <w:t>linkedin.com/in/ananyakrishnan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086" w:val="right"/>
        </w:tabs>
      </w:pPr>
      <w:r>
        <w:t>Whitmore College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B.A. in Economics and Mathematics</w:t>
      </w:r>
      <w:r>
        <w:rPr>
          <w:i w:val="0"/>
        </w:rPr>
        <w:t>, New Haven, CT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3.87/4.00; Phi Beta Kappa (junior inductee)</w:t>
      </w:r>
    </w:p>
    <w:p>
      <w:pPr>
        <w:pStyle w:val="BodyText"/>
      </w:pPr>
      <w:r>
        <w:rPr>
          <w:b/>
          <w:bCs/>
          <w:i w:val="0"/>
        </w:rPr>
        <w:t>Relevant Coursework:</w:t>
      </w:r>
      <w:r>
        <w:t xml:space="preserve"> Econometrics, Real Analysis, Game Theory, Development Economics, Financial Markets</w:t>
      </w:r>
    </w:p>
    <w:p>
      <w:pPr>
        <w:pStyle w:val="EntryTitle"/>
        <w:tabs>
          <w:tab w:pos="10086" w:val="right"/>
        </w:tabs>
      </w:pPr>
      <w:r>
        <w:t>Aster Grove School</w:t>
      </w:r>
      <w:r>
        <w:tab/>
      </w:r>
      <w:r>
        <w:rPr>
          <w:b w:val="0"/>
        </w:rPr>
        <w:t>May 2023</w:t>
      </w:r>
    </w:p>
    <w:p>
      <w:pPr>
        <w:pStyle w:val="EntryMeta"/>
      </w:pPr>
      <w:r>
        <w:t>Indian School Certificate (ISC)</w:t>
      </w:r>
      <w:r>
        <w:rPr>
          <w:i w:val="0"/>
        </w:rPr>
        <w:t>, Chennai, India</w:t>
      </w:r>
    </w:p>
    <w:p>
      <w:pPr>
        <w:pStyle w:val="BodyText"/>
      </w:pPr>
      <w:r>
        <w:rPr>
          <w:b/>
          <w:bCs/>
          <w:i w:val="0"/>
        </w:rPr>
        <w:t>Score:</w:t>
      </w:r>
      <w:r>
        <w:t xml:space="preserve"> 98.2%; National Talent Search Scholar</w:t>
      </w:r>
    </w:p>
    <w:p>
      <w:pPr>
        <w:pStyle w:val="SectionHeading"/>
        <w:pBdr>
          <w:bottom w:val="single" w:sz="6" w:space="1" w:color="000000"/>
        </w:pBdr>
      </w:pPr>
      <w:r>
        <w:t>Research</w:t>
      </w:r>
    </w:p>
    <w:p>
      <w:pPr>
        <w:pStyle w:val="EntryTitle"/>
        <w:tabs>
          <w:tab w:pos="10086" w:val="right"/>
        </w:tabs>
      </w:pPr>
      <w:r>
        <w:t>Whitmore Economic Growth Center</w:t>
      </w:r>
      <w:r>
        <w:tab/>
      </w:r>
      <w:r>
        <w:rPr>
          <w:b w:val="0"/>
        </w:rPr>
        <w:t>Sep 2026 – Present</w:t>
      </w:r>
    </w:p>
    <w:p>
      <w:pPr>
        <w:pStyle w:val="EntryMeta"/>
      </w:pPr>
      <w:r>
        <w:t>Senior Essay</w:t>
      </w:r>
      <w:r>
        <w:rPr>
          <w:i w:val="0"/>
        </w:rPr>
        <w:t>, New Haven, CT</w:t>
      </w:r>
    </w:p>
    <w:p>
      <w:pPr>
        <w:pStyle w:val="ResumeBullet"/>
      </w:pPr>
      <w:r>
        <w:t>Estimating the effect of digital payments on small-firm survival using district-level panel data.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086" w:val="right"/>
        </w:tabs>
      </w:pPr>
      <w:r>
        <w:t>Copperline Capital</w:t>
      </w:r>
      <w:r>
        <w:tab/>
      </w:r>
      <w:r>
        <w:rPr>
          <w:b w:val="0"/>
        </w:rPr>
        <w:t>Jun 2026 – Aug 2026</w:t>
      </w:r>
    </w:p>
    <w:p>
      <w:pPr>
        <w:pStyle w:val="EntryMeta"/>
      </w:pPr>
      <w:r>
        <w:t>Summer Analyst, Investment Banking</w:t>
      </w:r>
      <w:r>
        <w:rPr>
          <w:i w:val="0"/>
        </w:rPr>
        <w:t>, New York, NY</w:t>
      </w:r>
    </w:p>
    <w:p>
      <w:pPr>
        <w:pStyle w:val="ResumeBullet"/>
      </w:pPr>
      <w:r>
        <w:t>Built three-statement and DCF models for a $450M consumer-sector sale process.</w:t>
      </w:r>
    </w:p>
    <w:p>
      <w:pPr>
        <w:pStyle w:val="ResumeBullet"/>
      </w:pPr>
      <w:r>
        <w:t>Drafted 25 pages of a confidential information memorandum and buyer profiles for 40 strategic acquirers.</w:t>
      </w:r>
    </w:p>
    <w:p>
      <w:pPr>
        <w:pStyle w:val="ResumeBullet"/>
      </w:pPr>
      <w:r>
        <w:t>Ranked in top 10% of 60-person analyst class in end-of-summer review.</w:t>
      </w:r>
    </w:p>
    <w:p>
      <w:pPr>
        <w:pStyle w:val="EntryTitle"/>
        <w:tabs>
          <w:tab w:pos="10086" w:val="right"/>
        </w:tabs>
      </w:pPr>
      <w:r>
        <w:t>Whitmore Economic Growth Center</w:t>
      </w:r>
      <w:r>
        <w:tab/>
      </w:r>
      <w:r>
        <w:rPr>
          <w:b w:val="0"/>
        </w:rPr>
        <w:t>Jan 2025 – Present</w:t>
      </w:r>
    </w:p>
    <w:p>
      <w:pPr>
        <w:pStyle w:val="EntryMeta"/>
      </w:pPr>
      <w:r>
        <w:t>Research Assistant to Prof. A. Delacroix</w:t>
      </w:r>
      <w:r>
        <w:rPr>
          <w:i w:val="0"/>
        </w:rPr>
        <w:t>, New Haven, CT</w:t>
      </w:r>
    </w:p>
    <w:p>
      <w:pPr>
        <w:pStyle w:val="ResumeBullet"/>
      </w:pPr>
      <w:r>
        <w:t>Cleaned and merged 12 years of household survey data (200,000 observations) in Stata and R.</w:t>
      </w:r>
    </w:p>
    <w:p>
      <w:pPr>
        <w:pStyle w:val="ResumeBullet"/>
      </w:pPr>
      <w:r>
        <w:t>Replicated difference-in-differences estimates for a working paper on microfinance access.</w:t>
      </w:r>
    </w:p>
    <w:p>
      <w:pPr>
        <w:pStyle w:val="EntryTitle"/>
        <w:tabs>
          <w:tab w:pos="10086" w:val="right"/>
        </w:tabs>
      </w:pPr>
      <w:r>
        <w:t>Vantage Point Consulting</w:t>
      </w:r>
      <w:r>
        <w:tab/>
      </w:r>
      <w:r>
        <w:rPr>
          <w:b w:val="0"/>
        </w:rPr>
        <w:t>Jun 2025 – Jul 2025</w:t>
      </w:r>
    </w:p>
    <w:p>
      <w:pPr>
        <w:pStyle w:val="EntryMeta"/>
      </w:pPr>
      <w:r>
        <w:t>Strategy Intern</w:t>
      </w:r>
      <w:r>
        <w:rPr>
          <w:i w:val="0"/>
        </w:rPr>
        <w:t>, Mumbai, India</w:t>
      </w:r>
    </w:p>
    <w:p>
      <w:pPr>
        <w:pStyle w:val="ResumeBullet"/>
      </w:pPr>
      <w:r>
        <w:t>Sized the Indian cold-chain market and presented entry options to a client leadership team.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086" w:val="right"/>
        </w:tabs>
      </w:pPr>
      <w:r>
        <w:t>Whitmore Undergraduate Economics Review</w:t>
      </w:r>
      <w:r>
        <w:tab/>
      </w:r>
      <w:r>
        <w:rPr>
          <w:b w:val="0"/>
        </w:rPr>
        <w:t>Sep 2025 – Present</w:t>
      </w:r>
    </w:p>
    <w:p>
      <w:pPr>
        <w:pStyle w:val="EntryMeta"/>
      </w:pPr>
      <w:r>
        <w:t>Editor-in-Chief</w:t>
      </w:r>
      <w:r>
        <w:rPr>
          <w:i w:val="0"/>
        </w:rPr>
        <w:t>, New Haven, CT</w:t>
      </w:r>
    </w:p>
    <w:p>
      <w:pPr>
        <w:pStyle w:val="ResumeBullet"/>
      </w:pPr>
      <w:r>
        <w:t>Lead 18 editors; doubled submissions to 140 per issue and launched a podcast series.</w:t>
      </w:r>
    </w:p>
    <w:p>
      <w:pPr>
        <w:pStyle w:val="EntryTitle"/>
        <w:tabs>
          <w:tab w:pos="10086" w:val="right"/>
        </w:tabs>
      </w:pPr>
      <w:r>
        <w:t>South Asian Society</w:t>
      </w:r>
      <w:r>
        <w:tab/>
      </w:r>
      <w:r>
        <w:rPr>
          <w:b w:val="0"/>
        </w:rPr>
        <w:t>Sep 2024 – May 2025</w:t>
      </w:r>
    </w:p>
    <w:p>
      <w:pPr>
        <w:pStyle w:val="EntryMeta"/>
      </w:pPr>
      <w:r>
        <w:t>Treasurer</w:t>
      </w:r>
      <w:r>
        <w:rPr>
          <w:i w:val="0"/>
        </w:rPr>
        <w:t>, New Haven, CT</w:t>
      </w:r>
    </w:p>
    <w:p>
      <w:pPr>
        <w:pStyle w:val="ResumeBullet"/>
      </w:pPr>
      <w:r>
        <w:t>Managed a $35,000 budget for 12 cultural events serving 2,000 attendees.</w:t>
      </w:r>
    </w:p>
    <w:p>
      <w:pPr>
        <w:pStyle w:val="SectionHeading"/>
        <w:pBdr>
          <w:bottom w:val="single" w:sz="6" w:space="1" w:color="000000"/>
        </w:pBdr>
      </w:pPr>
      <w:r>
        <w:t>Projects &amp; Service</w:t>
      </w:r>
    </w:p>
    <w:p>
      <w:pPr>
        <w:pStyle w:val="EntryTitle"/>
        <w:tabs>
          <w:tab w:pos="10086" w:val="right"/>
        </w:tabs>
      </w:pPr>
      <w:r>
        <w:t>Monsoon and Markets</w:t>
      </w:r>
      <w:r>
        <w:tab/>
      </w:r>
      <w:r>
        <w:rPr>
          <w:b w:val="0"/>
        </w:rPr>
        <w:t>2025</w:t>
      </w:r>
    </w:p>
    <w:p>
      <w:pPr>
        <w:pStyle w:val="EntryMeta"/>
      </w:pPr>
      <w:r>
        <w:t>Researcher</w:t>
      </w:r>
      <w:r>
        <w:rPr>
          <w:i w:val="0"/>
        </w:rPr>
        <w:t>, Independent Study</w:t>
      </w:r>
    </w:p>
    <w:p>
      <w:pPr>
        <w:pStyle w:val="ResumeBullet"/>
      </w:pPr>
      <w:r>
        <w:t>Linked rainfall shocks to wholesale food prices across 400 markets; findings presented at a student conference.</w:t>
      </w:r>
    </w:p>
    <w:p>
      <w:pPr>
        <w:pStyle w:val="EntryTitle"/>
        <w:tabs>
          <w:tab w:pos="10086" w:val="right"/>
        </w:tabs>
      </w:pPr>
      <w:r>
        <w:t>Whitmore Consulting Group</w:t>
      </w:r>
      <w:r>
        <w:tab/>
      </w:r>
      <w:r>
        <w:rPr>
          <w:b w:val="0"/>
        </w:rPr>
        <w:t>2024 – 2025</w:t>
      </w:r>
    </w:p>
    <w:p>
      <w:pPr>
        <w:pStyle w:val="EntryMeta"/>
      </w:pPr>
      <w:r>
        <w:t>Project Lead</w:t>
      </w:r>
      <w:r>
        <w:rPr>
          <w:i w:val="0"/>
        </w:rPr>
        <w:t>, New Haven, CT</w:t>
      </w:r>
    </w:p>
    <w:p>
      <w:pPr>
        <w:pStyle w:val="ResumeBullet"/>
      </w:pPr>
      <w:r>
        <w:t>Led a 5-person team advising a local credit union on small-business lending; recommendations adopted.</w:t>
      </w:r>
    </w:p>
    <w:p>
      <w:pPr>
        <w:pStyle w:val="SectionHeading"/>
        <w:pBdr>
          <w:bottom w:val="single" w:sz="6" w:space="1" w:color="000000"/>
        </w:pBdr>
      </w:pPr>
      <w:r>
        <w:t>Publications &amp; Presentations</w:t>
      </w:r>
    </w:p>
    <w:p>
      <w:pPr>
        <w:pStyle w:val="BodyText"/>
        <w:ind w:left="340" w:right="0" w:hanging="340"/>
      </w:pPr>
      <w:r>
        <w:t>Delacroix, A., &amp; Krishnan, A. (2026). Credit access and household resilience. Working paper.</w:t>
      </w:r>
    </w:p>
    <w:p>
      <w:pPr>
        <w:pStyle w:val="SectionHeading"/>
        <w:pBdr>
          <w:bottom w:val="single" w:sz="6" w:space="1" w:color="000000"/>
        </w:pBdr>
      </w:pPr>
      <w:r>
        <w:t>Honors &amp; Awards</w:t>
      </w:r>
    </w:p>
    <w:p>
      <w:pPr>
        <w:pStyle w:val="ResumeBullet"/>
      </w:pPr>
      <w:r>
        <w:t>Whitmore Summer Research Grant (2025)</w:t>
      </w:r>
    </w:p>
    <w:p>
      <w:pPr>
        <w:pStyle w:val="ResumeBullet"/>
      </w:pPr>
      <w:r>
        <w:t>Economics Department Prize for Best Junior Paper (2026)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Stata, R, Python (pandas), Excel/VBA, LaTeX, Capital IQ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 (native), Hindi (fluent), French (intermediate)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Bharatanatyam, monetary history, crossword construction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Source Sans 3" w:hAnsi="Source Sans 3" w:eastAsia="Source Sans 3" w:cs="Source Sans 3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59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Source Sans 3" w:hAnsi="Source Sans 3" w:eastAsia="Source Sans 3" w:cs="Source Sans 3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1"/>
      <w:szCs w:val="21"/>
    </w:rPr>
  </w:style>
  <w:style w:type="paragraph" w:customStyle="1" w:styleId="SectionHeading">
    <w:name w:val="Section Heading"/>
    <w:basedOn w:val="Normal"/>
    <w:qFormat/>
    <w:pPr>
      <w:keepNext/>
      <w:widowControl/>
      <w:spacing w:before="260" w:after="60"/>
      <w:jc w:val="center"/>
    </w:pPr>
    <w:rPr>
      <w:rFonts w:ascii="Source Sans 3" w:hAnsi="Source Sans 3" w:eastAsia="Source Sans 3" w:cs="Source Sans 3"/>
      <w:b/>
      <w:bCs/>
      <w:i w:val="0"/>
      <w:caps w:val="0"/>
      <w:smallCaps/>
      <w:color w:val="00000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59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40" w:after="0"/>
    </w:pPr>
    <w:rPr>
      <w:rFonts w:ascii="Source Sans 3" w:hAnsi="Source Sans 3" w:eastAsia="Source Sans 3" w:cs="Source Sans 3"/>
      <w:b/>
      <w:bCs/>
      <w:i w:val="0"/>
      <w:caps w:val="0"/>
      <w:smallCaps w:val="0"/>
      <w:color w:val="000000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Source Sans 3"/>
      <w:b w:val="0"/>
      <w:i/>
      <w:caps w:val="0"/>
      <w:smallCaps w:val="0"/>
      <w:color w:val="000000"/>
      <w:sz w:val="22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59" w:lineRule="auto"/>
      <w:ind w:left="312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Charter Format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