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9360" w:val="right"/>
        </w:tabs>
      </w:pPr>
      <w:r>
        <w:t>Olivia M. Hart</w:t>
      </w:r>
      <w:r>
        <w:tab/>
      </w:r>
      <w:r>
        <w:rPr>
          <w:rFonts w:ascii="Lato" w:hAnsi="Lato" w:eastAsia="Lato" w:cs="Lato"/>
          <w:b w:val="0"/>
          <w:sz w:val="20"/>
          <w:szCs w:val="20"/>
        </w:rPr>
        <w:t>olivia.hart@college.edu</w:t>
      </w:r>
    </w:p>
    <w:p>
      <w:pPr>
        <w:pStyle w:val="Contact"/>
        <w:tabs>
          <w:tab w:pos="9360" w:val="right"/>
        </w:tabs>
      </w:pPr>
      <w:r>
        <w:t>Baltimore, MD</w:t>
      </w:r>
      <w:r>
        <w:tab/>
      </w:r>
      <w:r>
        <w:t>(410) 555-0113</w:t>
      </w:r>
    </w:p>
    <w:p>
      <w:pPr>
        <w:pStyle w:val="SectionHeading"/>
        <w:pBdr>
          <w:bottom w:val="single" w:sz="4" w:space="1" w:color="2E4A3B"/>
        </w:pBdr>
      </w:pPr>
      <w:r>
        <w:t>Education</w:t>
      </w:r>
    </w:p>
    <w:p>
      <w:pPr>
        <w:pStyle w:val="EntryTitle"/>
        <w:tabs>
          <w:tab w:pos="9360" w:val="right"/>
        </w:tabs>
      </w:pPr>
      <w:r>
        <w:t>Hollins University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B.S. in Molecular Biology, Minor in Public Health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3.94/4.00; Science GPA: 3.96; University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Biochemistry, Genetics, Organic Chemistry I–II, Physiology, Biostatistics</w:t>
      </w:r>
    </w:p>
    <w:p>
      <w:pPr>
        <w:pStyle w:val="SectionHeading"/>
        <w:pBdr>
          <w:bottom w:val="single" w:sz="4" w:space="1" w:color="2E4A3B"/>
        </w:pBdr>
      </w:pPr>
      <w:r>
        <w:t>Research</w:t>
      </w:r>
    </w:p>
    <w:p>
      <w:pPr>
        <w:pStyle w:val="EntryTitle"/>
        <w:tabs>
          <w:tab w:pos="9360" w:val="right"/>
        </w:tabs>
      </w:pPr>
      <w:r>
        <w:t>Riverstone Research Institute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Summer Research Fellow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Characterized drug-tolerant persister cells using single-cell RNA sequencing data.</w:t>
      </w:r>
    </w:p>
    <w:p>
      <w:pPr>
        <w:pStyle w:val="SectionHeading"/>
        <w:pBdr>
          <w:bottom w:val="single" w:sz="4" w:space="1" w:color="2E4A3B"/>
        </w:pBdr>
      </w:pPr>
      <w:r>
        <w:t>Experience</w:t>
      </w:r>
    </w:p>
    <w:p>
      <w:pPr>
        <w:pStyle w:val="EntryTitle"/>
        <w:tabs>
          <w:tab w:pos="9360" w:val="right"/>
        </w:tabs>
      </w:pPr>
      <w:r>
        <w:t>Riverstone Research Institute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Undergraduate Researcher, Oncology Lab</w:t>
      </w:r>
      <w:r>
        <w:tab/>
      </w:r>
      <w:r>
        <w:rPr>
          <w:i/>
        </w:rPr>
        <w:t>Jan 2025 – Present</w:t>
      </w:r>
    </w:p>
    <w:p>
      <w:pPr>
        <w:pStyle w:val="ResumeBullet"/>
      </w:pPr>
      <w:r>
        <w:t>Run CRISPR knockout screens in breast-cancer cell lines; identified two candidate resistance genes.</w:t>
      </w:r>
    </w:p>
    <w:p>
      <w:pPr>
        <w:pStyle w:val="ResumeBullet"/>
      </w:pPr>
      <w:r>
        <w:t>Present monthly at lab meetings; second author on a manuscript in preparation.</w:t>
      </w:r>
    </w:p>
    <w:p>
      <w:pPr>
        <w:pStyle w:val="EntryTitle"/>
        <w:tabs>
          <w:tab w:pos="9360" w:val="right"/>
        </w:tabs>
      </w:pPr>
      <w:r>
        <w:t>Riverstone Hospital Emergency Department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Patient Care Volunteer</w:t>
      </w:r>
      <w:r>
        <w:tab/>
      </w:r>
      <w:r>
        <w:rPr>
          <w:i/>
        </w:rPr>
        <w:t>Sep 2024 – Present</w:t>
      </w:r>
    </w:p>
    <w:p>
      <w:pPr>
        <w:pStyle w:val="ResumeBullet"/>
      </w:pPr>
      <w:r>
        <w:t>Support nurses and patients during 4-hour weekly shifts; 300+ volunteer hours.</w:t>
      </w:r>
    </w:p>
    <w:p>
      <w:pPr>
        <w:pStyle w:val="EntryTitle"/>
        <w:tabs>
          <w:tab w:pos="9360" w:val="right"/>
        </w:tabs>
      </w:pPr>
      <w:r>
        <w:t>Community Health Clinic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Medical Scribe</w:t>
      </w:r>
      <w:r>
        <w:tab/>
      </w:r>
      <w:r>
        <w:rPr>
          <w:i/>
        </w:rPr>
        <w:t>Jun 2025 – Aug 2025</w:t>
      </w:r>
    </w:p>
    <w:p>
      <w:pPr>
        <w:pStyle w:val="ResumeBullet"/>
      </w:pPr>
      <w:r>
        <w:t>Documented 25+ patient encounters per shift in the clinic EHR for two attending physicians.</w:t>
      </w:r>
    </w:p>
    <w:p>
      <w:pPr>
        <w:pStyle w:val="SectionHeading"/>
        <w:pBdr>
          <w:bottom w:val="single" w:sz="4" w:space="1" w:color="2E4A3B"/>
        </w:pBdr>
      </w:pPr>
      <w:r>
        <w:t>Leadership &amp; Activities</w:t>
      </w:r>
    </w:p>
    <w:p>
      <w:pPr>
        <w:pStyle w:val="EntryTitle"/>
        <w:tabs>
          <w:tab w:pos="9360" w:val="right"/>
        </w:tabs>
      </w:pPr>
      <w:r>
        <w:t>Hollins Health Equity Project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Co-Founder</w:t>
      </w:r>
      <w:r>
        <w:tab/>
      </w:r>
      <w:r>
        <w:rPr>
          <w:i/>
        </w:rPr>
        <w:t>Sep 2024 – Present</w:t>
      </w:r>
    </w:p>
    <w:p>
      <w:pPr>
        <w:pStyle w:val="ResumeBullet"/>
      </w:pPr>
      <w:r>
        <w:t>Organize free blood-pressure screenings reaching 900 residents across 12 neighborhoods.</w:t>
      </w:r>
    </w:p>
    <w:p>
      <w:pPr>
        <w:pStyle w:val="EntryTitle"/>
        <w:tabs>
          <w:tab w:pos="9360" w:val="right"/>
        </w:tabs>
      </w:pPr>
      <w:r>
        <w:t>Peer Tutoring Center</w:t>
      </w:r>
      <w:r>
        <w:tab/>
      </w:r>
      <w:r>
        <w:rPr>
          <w:b w:val="0"/>
        </w:rPr>
        <w:t>Baltimore, MD</w:t>
      </w:r>
    </w:p>
    <w:p>
      <w:pPr>
        <w:pStyle w:val="EntryMeta"/>
        <w:tabs>
          <w:tab w:pos="9360" w:val="right"/>
        </w:tabs>
      </w:pPr>
      <w:r>
        <w:t>Organic Chemistry Tutor</w:t>
      </w:r>
      <w:r>
        <w:tab/>
      </w:r>
      <w:r>
        <w:rPr>
          <w:i/>
        </w:rPr>
        <w:t>Jan 2025 – Present</w:t>
      </w:r>
    </w:p>
    <w:p>
      <w:pPr>
        <w:pStyle w:val="ResumeBullet"/>
      </w:pPr>
      <w:r>
        <w:t>Tutor 15 students weekly; average exam score of tutees rose by 9 points.</w:t>
      </w:r>
    </w:p>
    <w:p>
      <w:pPr>
        <w:pStyle w:val="SectionHeading"/>
        <w:pBdr>
          <w:bottom w:val="single" w:sz="4" w:space="1" w:color="2E4A3B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CRISPR-Cas9, cell culture, qPCR, Western blot, flow cytometry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BLS (AHA), CITI Human Subjects Research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(conversational)</w:t>
      </w:r>
    </w:p>
    <w:p>
      <w:pPr>
        <w:pStyle w:val="BodyText"/>
      </w:pPr>
      <w:r>
        <w:rPr>
          <w:b/>
          <w:bCs/>
        </w:rPr>
        <w:t xml:space="preserve">Interests: </w:t>
      </w:r>
      <w:r>
        <w:t>Trail running, watercolor, community choir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Lato" w:hAnsi="Lato" w:eastAsia="Lato" w:cs="Lato"/>
      <w:color w:val="000000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Lato" w:hAnsi="Lato" w:eastAsia="Lato" w:cs="Lato"/>
      <w:b/>
      <w:bCs/>
      <w:i w:val="0"/>
      <w:caps w:val="0"/>
      <w:smallCaps w:val="0"/>
      <w:color w:val="2E4A3B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ato" w:hAnsi="Lato" w:eastAsia="Lato" w:cs="Lato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07" w:after="60"/>
    </w:pPr>
    <w:rPr>
      <w:rFonts w:ascii="Lato" w:hAnsi="Lato" w:eastAsia="Lato" w:cs="Lato"/>
      <w:b/>
      <w:bCs/>
      <w:i w:val="0"/>
      <w:caps w:val="0"/>
      <w:smallCaps w:val="0"/>
      <w:color w:val="2E4A3B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38" w:after="0"/>
    </w:pPr>
    <w:rPr>
      <w:rFonts w:ascii="Lato" w:hAnsi="Lato" w:eastAsia="Lato" w:cs="Lato"/>
      <w:b/>
      <w:bCs/>
      <w:i w:val="0"/>
      <w:caps w:val="0"/>
      <w:smallCaps w:val="0"/>
      <w:color w:val="000000"/>
      <w:sz w:val="21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Lato"/>
      <w:b w:val="0"/>
      <w:i/>
      <w:caps w:val="0"/>
      <w:smallCaps w:val="0"/>
      <w:color w:val="000000"/>
      <w:sz w:val="21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Lato" w:hAnsi="Lato" w:eastAsia="Lato" w:cs="Lato"/>
      <w:b w:val="0"/>
      <w:i w:val="0"/>
      <w:caps w:val="0"/>
      <w:smallCaps w:val="0"/>
      <w:color w:val="000000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Oxford Rule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