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tabs>
          <w:tab w:pos="10312" w:val="right"/>
        </w:tabs>
      </w:pPr>
      <w:r>
        <w:t>Sophia Alvarez</w:t>
      </w:r>
      <w:r>
        <w:tab/>
      </w:r>
      <w:r>
        <w:rPr>
          <w:rFonts w:ascii="Roboto" w:hAnsi="Roboto" w:eastAsia="Roboto" w:cs="Roboto"/>
          <w:b w:val="0"/>
          <w:sz w:val="23"/>
          <w:szCs w:val="24"/>
        </w:rPr>
        <w:t>sophia.alvarez@college.edu</w:t>
      </w:r>
    </w:p>
    <w:p>
      <w:pPr>
        <w:pStyle w:val="Contact"/>
        <w:tabs>
          <w:tab w:pos="10312" w:val="right"/>
        </w:tabs>
      </w:pPr>
      <w:r>
        <w:t>Linden, NJ</w:t>
      </w:r>
      <w:r>
        <w:tab/>
      </w:r>
      <w:r>
        <w:t>(609) 555-0151  •  linkedin.com/in/sophiaalvarez</w:t>
      </w:r>
    </w:p>
    <w:p>
      <w:pPr>
        <w:pStyle w:val="SectionHeading"/>
        <w:pBdr>
          <w:top w:val="single" w:sz="6" w:space="4" w:color="000000"/>
        </w:pBdr>
      </w:pPr>
      <w:r>
        <w:t>Profile</w:t>
      </w:r>
    </w:p>
    <w:p>
      <w:pPr>
        <w:pStyle w:val="Summary"/>
        <w:spacing w:before="191"/>
      </w:pPr>
      <w:r>
        <w:t>Public policy student focused on housing, cities and evidence-based government.</w:t>
      </w:r>
    </w:p>
    <w:p>
      <w:pPr>
        <w:pStyle w:val="SectionHeading"/>
        <w:pBdr>
          <w:top w:val="single" w:sz="6" w:space="4" w:color="000000"/>
        </w:pBdr>
      </w:pPr>
      <w:r>
        <w:t>Education</w:t>
      </w:r>
    </w:p>
    <w:p>
      <w:pPr>
        <w:pStyle w:val="EntryTitle"/>
        <w:tabs>
          <w:tab w:pos="10312" w:val="right"/>
        </w:tabs>
      </w:pPr>
      <w:r>
        <w:t>Linden Hill University</w:t>
      </w:r>
      <w:r>
        <w:tab/>
      </w:r>
      <w:r>
        <w:rPr>
          <w:b w:val="0"/>
        </w:rPr>
        <w:t>Linden, NJ</w:t>
      </w:r>
    </w:p>
    <w:p>
      <w:pPr>
        <w:pStyle w:val="EntryMeta"/>
        <w:tabs>
          <w:tab w:pos="10312" w:val="right"/>
        </w:tabs>
      </w:pPr>
      <w:r>
        <w:t>A.B. in Public and International Affairs, Certificate in Urban Studies</w:t>
      </w:r>
      <w:r>
        <w:tab/>
      </w:r>
      <w:r>
        <w:rPr>
          <w:i/>
        </w:rPr>
        <w:t>May 2027</w:t>
      </w:r>
    </w:p>
    <w:p>
      <w:pPr>
        <w:pStyle w:val="BodyText"/>
      </w:pPr>
      <w:r>
        <w:rPr>
          <w:b/>
          <w:bCs/>
          <w:i w:val="0"/>
        </w:rPr>
        <w:t>GPA:</w:t>
      </w:r>
      <w:r>
        <w:t xml:space="preserve"> 3.89/4.00</w:t>
      </w:r>
    </w:p>
    <w:p>
      <w:pPr>
        <w:pStyle w:val="BodyText"/>
      </w:pPr>
      <w:r>
        <w:rPr>
          <w:b/>
          <w:bCs/>
          <w:i w:val="0"/>
        </w:rPr>
        <w:t>Thesis:</w:t>
      </w:r>
      <w:r>
        <w:t xml:space="preserve"> Zoning reform and rent burdens in mid-size U.S. cities</w:t>
      </w:r>
    </w:p>
    <w:p>
      <w:pPr>
        <w:pStyle w:val="SectionHeading"/>
        <w:pBdr>
          <w:top w:val="single" w:sz="6" w:space="4" w:color="000000"/>
        </w:pBdr>
      </w:pPr>
      <w:r>
        <w:t>Experience</w:t>
      </w:r>
    </w:p>
    <w:p>
      <w:pPr>
        <w:pStyle w:val="EntryTitle"/>
        <w:tabs>
          <w:tab w:pos="10312" w:val="right"/>
        </w:tabs>
      </w:pPr>
      <w:r>
        <w:t>City Office of Policy</w:t>
      </w:r>
      <w:r>
        <w:tab/>
      </w:r>
      <w:r>
        <w:rPr>
          <w:b w:val="0"/>
        </w:rPr>
        <w:t>Trenton, NJ</w:t>
      </w:r>
    </w:p>
    <w:p>
      <w:pPr>
        <w:pStyle w:val="EntryMeta"/>
        <w:tabs>
          <w:tab w:pos="10312" w:val="right"/>
        </w:tabs>
      </w:pPr>
      <w:r>
        <w:t>Policy Fellow</w:t>
      </w:r>
      <w:r>
        <w:tab/>
      </w:r>
      <w:r>
        <w:rPr>
          <w:i/>
        </w:rPr>
        <w:t>Jun 2026 – Aug 2026</w:t>
      </w:r>
    </w:p>
    <w:p>
      <w:pPr>
        <w:pStyle w:val="ResumeBullet"/>
      </w:pPr>
      <w:r>
        <w:t>Analyzed 15 years of permit data to model housing supply under three zoning scenarios.</w:t>
      </w:r>
    </w:p>
    <w:p>
      <w:pPr>
        <w:pStyle w:val="ResumeBullet"/>
      </w:pPr>
      <w:r>
        <w:t>Briefed the deputy mayor and drafted a 20-page memo used in council hearings.</w:t>
      </w:r>
    </w:p>
    <w:p>
      <w:pPr>
        <w:pStyle w:val="EntryTitle"/>
        <w:tabs>
          <w:tab w:pos="10312" w:val="right"/>
        </w:tabs>
      </w:pPr>
      <w:r>
        <w:t>Civic Futures Institute</w:t>
      </w:r>
      <w:r>
        <w:tab/>
      </w:r>
      <w:r>
        <w:rPr>
          <w:b w:val="0"/>
        </w:rPr>
        <w:t>Washington, DC</w:t>
      </w:r>
    </w:p>
    <w:p>
      <w:pPr>
        <w:pStyle w:val="EntryMeta"/>
        <w:tabs>
          <w:tab w:pos="10312" w:val="right"/>
        </w:tabs>
      </w:pPr>
      <w:r>
        <w:t>Research Intern</w:t>
      </w:r>
      <w:r>
        <w:tab/>
      </w:r>
      <w:r>
        <w:rPr>
          <w:i/>
        </w:rPr>
        <w:t>Jun 2025 – Aug 2025</w:t>
      </w:r>
    </w:p>
    <w:p>
      <w:pPr>
        <w:pStyle w:val="ResumeBullet"/>
      </w:pPr>
      <w:r>
        <w:t>Coded 1,200 local ordinances for a national land-use database.</w:t>
      </w:r>
    </w:p>
    <w:p>
      <w:pPr>
        <w:pStyle w:val="EntryTitle"/>
        <w:tabs>
          <w:tab w:pos="10312" w:val="right"/>
        </w:tabs>
      </w:pPr>
      <w:r>
        <w:t>Linden Hill Policy Lab</w:t>
      </w:r>
      <w:r>
        <w:tab/>
      </w:r>
      <w:r>
        <w:rPr>
          <w:b w:val="0"/>
        </w:rPr>
        <w:t>Linden, NJ</w:t>
      </w:r>
    </w:p>
    <w:p>
      <w:pPr>
        <w:pStyle w:val="EntryMeta"/>
        <w:tabs>
          <w:tab w:pos="10312" w:val="right"/>
        </w:tabs>
      </w:pPr>
      <w:r>
        <w:t>Research Assistant</w:t>
      </w:r>
      <w:r>
        <w:tab/>
      </w:r>
      <w:r>
        <w:rPr>
          <w:i/>
        </w:rPr>
        <w:t>Sep 2024 – Present</w:t>
      </w:r>
    </w:p>
    <w:p>
      <w:pPr>
        <w:pStyle w:val="ResumeBullet"/>
      </w:pPr>
      <w:r>
        <w:t>Designed survey instruments for a randomized evaluation of a tenant-counseling program.</w:t>
      </w:r>
    </w:p>
    <w:p>
      <w:pPr>
        <w:pStyle w:val="SectionHeading"/>
        <w:pBdr>
          <w:top w:val="single" w:sz="6" w:space="4" w:color="000000"/>
        </w:pBdr>
      </w:pPr>
      <w:r>
        <w:t>Leadership &amp; Activities</w:t>
      </w:r>
    </w:p>
    <w:p>
      <w:pPr>
        <w:pStyle w:val="EntryTitle"/>
        <w:tabs>
          <w:tab w:pos="10312" w:val="right"/>
        </w:tabs>
      </w:pPr>
      <w:r>
        <w:t>Model United Nations</w:t>
      </w:r>
      <w:r>
        <w:tab/>
      </w:r>
      <w:r>
        <w:rPr>
          <w:b w:val="0"/>
        </w:rPr>
        <w:t>Linden, NJ</w:t>
      </w:r>
    </w:p>
    <w:p>
      <w:pPr>
        <w:pStyle w:val="EntryMeta"/>
        <w:tabs>
          <w:tab w:pos="10312" w:val="right"/>
        </w:tabs>
      </w:pPr>
      <w:r>
        <w:t>Secretary-General</w:t>
      </w:r>
      <w:r>
        <w:tab/>
      </w:r>
      <w:r>
        <w:rPr>
          <w:i/>
        </w:rPr>
        <w:t>Sep 2025 – Present</w:t>
      </w:r>
    </w:p>
    <w:p>
      <w:pPr>
        <w:pStyle w:val="ResumeBullet"/>
      </w:pPr>
      <w:r>
        <w:t>Lead a conference for 900 high-school delegates from 70 schools.</w:t>
      </w:r>
    </w:p>
    <w:p>
      <w:pPr>
        <w:pStyle w:val="SectionHeading"/>
        <w:pBdr>
          <w:top w:val="single" w:sz="6" w:space="4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Technical: </w:t>
      </w:r>
      <w:r>
        <w:t>R, Stata, ArcGIS, Qualtrics, Excel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Spanish (native), Portuguese (intermediate)</w:t>
      </w:r>
    </w:p>
    <w:p>
      <w:pPr>
        <w:pStyle w:val="BodyText"/>
      </w:pPr>
      <w:r>
        <w:rPr>
          <w:b/>
          <w:bCs/>
        </w:rPr>
        <w:t xml:space="preserve">Interests: </w:t>
      </w:r>
      <w:r>
        <w:t>Urban sketching, salsa, local history podcasts</w:t>
      </w:r>
    </w:p>
    <w:sectPr w:rsidR="00FC693F" w:rsidRPr="0006063C" w:rsidSect="00034616">
      <w:pgSz w:w="12240" w:h="15840"/>
      <w:pgMar w:top="964" w:right="964" w:bottom="96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" w:hAnsi="Roboto" w:eastAsia="Roboto" w:cs="Robo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94" w:lineRule="auto"/>
    </w:pPr>
    <w:rPr>
      <w:rFonts w:ascii="Roboto" w:hAnsi="Roboto" w:eastAsia="Roboto" w:cs="Roboto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94" w:lineRule="auto"/>
    </w:pPr>
    <w:rPr>
      <w:rFonts w:ascii="Roboto" w:hAnsi="Roboto" w:eastAsia="Roboto" w:cs="Roboto"/>
      <w:b w:val="0"/>
      <w:i w:val="0"/>
      <w:caps w:val="0"/>
      <w:smallCap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left"/>
    </w:pPr>
    <w:rPr>
      <w:rFonts w:ascii="Roboto" w:hAnsi="Roboto" w:eastAsia="Roboto" w:cs="Roboto"/>
      <w:b/>
      <w:bCs/>
      <w:i w:val="0"/>
      <w:caps w:val="0"/>
      <w:smallCaps w:val="0"/>
      <w:color w:val="000000"/>
      <w:sz w:val="36"/>
      <w:szCs w:val="36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Roboto" w:hAnsi="Roboto" w:eastAsia="Roboto" w:cs="Roboto"/>
      <w:b w:val="0"/>
      <w:i w:val="0"/>
      <w:caps w:val="0"/>
      <w:smallCaps w:val="0"/>
      <w:color w:val="000000"/>
      <w:sz w:val="23"/>
      <w:szCs w:val="24"/>
    </w:rPr>
  </w:style>
  <w:style w:type="paragraph" w:customStyle="1" w:styleId="SectionHeading">
    <w:name w:val="Section Heading"/>
    <w:basedOn w:val="Normal"/>
    <w:qFormat/>
    <w:pPr>
      <w:keepNext/>
      <w:widowControl/>
      <w:spacing w:before="319" w:after="60"/>
    </w:pPr>
    <w:rPr>
      <w:rFonts w:ascii="Roboto" w:hAnsi="Roboto" w:eastAsia="Roboto" w:cs="Roboto"/>
      <w:b/>
      <w:bCs/>
      <w:i w:val="0"/>
      <w:caps/>
      <w:smallCaps w:val="0"/>
      <w:color w:val="000000"/>
      <w:spacing w:val="40"/>
      <w:sz w:val="25"/>
      <w:szCs w:val="26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94" w:lineRule="auto"/>
    </w:pPr>
    <w:rPr>
      <w:rFonts w:ascii="Roboto" w:hAnsi="Roboto" w:eastAsia="Roboto" w:cs="Roboto"/>
      <w:b w:val="0"/>
      <w:i w:val="0"/>
      <w:caps w:val="0"/>
      <w:smallCaps w:val="0"/>
      <w:color w:val="000000"/>
      <w:sz w:val="24"/>
      <w:szCs w:val="24"/>
    </w:rPr>
  </w:style>
  <w:style w:type="paragraph" w:customStyle="1" w:styleId="EntryTitle">
    <w:name w:val="Entry Title"/>
    <w:basedOn w:val="Normal"/>
    <w:qFormat/>
    <w:pPr>
      <w:keepNext/>
      <w:widowControl/>
      <w:spacing w:before="145" w:after="0"/>
    </w:pPr>
    <w:rPr>
      <w:rFonts w:ascii="Roboto" w:hAnsi="Roboto" w:eastAsia="Roboto" w:cs="Roboto"/>
      <w:b/>
      <w:bCs/>
      <w:i w:val="0"/>
      <w:caps w:val="0"/>
      <w:smallCaps w:val="0"/>
      <w:color w:val="000000"/>
      <w:sz w:val="24"/>
      <w:szCs w:val="24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Roboto" w:hAnsi="Roboto" w:eastAsia="Roboto" w:cs="Roboto"/>
      <w:b w:val="0"/>
      <w:i/>
      <w:caps w:val="0"/>
      <w:smallCaps w:val="0"/>
      <w:color w:val="000000"/>
      <w:sz w:val="24"/>
      <w:szCs w:val="24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94" w:lineRule="auto"/>
      <w:ind w:left="312" w:hanging="227"/>
    </w:pPr>
    <w:rPr>
      <w:rFonts w:ascii="Roboto" w:hAnsi="Roboto" w:eastAsia="Roboto" w:cs="Roboto"/>
      <w:b w:val="0"/>
      <w:i w:val="0"/>
      <w:caps w:val="0"/>
      <w:smallCap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Scholar Column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