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Sethi</w:t>
      </w:r>
    </w:p>
    <w:p>
      <w:pPr>
        <w:pStyle w:val="Contact"/>
      </w:pPr>
      <w:r>
        <w:t>New York, NY</w:t>
      </w:r>
      <w:r>
        <w:t xml:space="preserve">  ·  </w:t>
      </w:r>
      <w:r>
        <w:t>(212) 555-0136</w:t>
      </w:r>
      <w:r>
        <w:t xml:space="preserve">  ·  </w:t>
      </w:r>
      <w:r>
        <w:t>kabir.sethi@college.edu</w:t>
      </w:r>
      <w:r>
        <w:t xml:space="preserve">  ·  </w:t>
      </w:r>
      <w:r>
        <w:t>linkedin.com/in/kabirsethi</w:t>
      </w:r>
    </w:p>
    <w:p>
      <w:pPr>
        <w:pStyle w:val="SectionHeading"/>
      </w:pPr>
      <w:r>
        <w:t>Education</w:t>
      </w:r>
    </w:p>
    <w:p>
      <w:pPr>
        <w:pStyle w:val="EntryTitle"/>
        <w:tabs>
          <w:tab w:pos="9360" w:val="right"/>
        </w:tabs>
      </w:pPr>
      <w:r>
        <w:t>Hudson University, School of Business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9360" w:val="right"/>
        </w:tabs>
      </w:pPr>
      <w:r>
        <w:t>B.S. in Finance and Data Science</w:t>
      </w:r>
      <w:r>
        <w:tab/>
      </w:r>
      <w:r>
        <w:rPr>
          <w:i/>
        </w:rPr>
        <w:t>May 2027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3.84/4.00; Presidential Scholar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Corporate Finance, Derivatives, Fixed Income, Machine Learning</w:t>
      </w:r>
    </w:p>
    <w:p>
      <w:pPr>
        <w:pStyle w:val="SectionHeading"/>
      </w:pPr>
      <w:r>
        <w:t>Experience</w:t>
      </w:r>
    </w:p>
    <w:p>
      <w:pPr>
        <w:pStyle w:val="EntryTitle"/>
        <w:tabs>
          <w:tab w:pos="9360" w:val="right"/>
        </w:tabs>
      </w:pPr>
      <w:r>
        <w:t>Summer Analyst, Sales &amp; Trading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9360" w:val="right"/>
        </w:tabs>
      </w:pPr>
      <w:r>
        <w:t>Copperline Capital</w:t>
      </w:r>
      <w:r>
        <w:tab/>
      </w:r>
      <w:r>
        <w:rPr>
          <w:i/>
        </w:rPr>
        <w:t>Jun 2026 – Aug 2026</w:t>
      </w:r>
    </w:p>
    <w:p>
      <w:pPr>
        <w:pStyle w:val="ResumeBullet"/>
      </w:pPr>
      <w:r>
        <w:t>Rotated across rates, credit and equity derivatives desks; built a Python tool for daily P&amp;L attribution.</w:t>
      </w:r>
    </w:p>
    <w:p>
      <w:pPr>
        <w:pStyle w:val="ResumeBullet"/>
      </w:pPr>
      <w:r>
        <w:t>Pitched a relative-value trade idea to the desk head; selected among top 5 of 40 interns.</w:t>
      </w:r>
    </w:p>
    <w:p>
      <w:pPr>
        <w:pStyle w:val="EntryTitle"/>
        <w:tabs>
          <w:tab w:pos="9360" w:val="right"/>
        </w:tabs>
      </w:pPr>
      <w:r>
        <w:t>Equity Research Intern</w:t>
      </w:r>
      <w:r>
        <w:tab/>
      </w:r>
      <w:r>
        <w:rPr>
          <w:b w:val="0"/>
        </w:rPr>
        <w:t>Mumbai, India</w:t>
      </w:r>
    </w:p>
    <w:p>
      <w:pPr>
        <w:pStyle w:val="EntryMeta"/>
        <w:tabs>
          <w:tab w:pos="9360" w:val="right"/>
        </w:tabs>
      </w:pPr>
      <w:r>
        <w:t>Indus Ledger Partners</w:t>
      </w:r>
      <w:r>
        <w:tab/>
      </w:r>
      <w:r>
        <w:rPr>
          <w:i/>
        </w:rPr>
        <w:t>Jun 2025 – Aug 2025</w:t>
      </w:r>
    </w:p>
    <w:p>
      <w:pPr>
        <w:pStyle w:val="ResumeBullet"/>
      </w:pPr>
      <w:r>
        <w:t>Initiated coverage models for two mid-cap banks; contributed to a 30-page sector report.</w:t>
      </w:r>
    </w:p>
    <w:p>
      <w:pPr>
        <w:pStyle w:val="EntryTitle"/>
        <w:tabs>
          <w:tab w:pos="9360" w:val="right"/>
        </w:tabs>
      </w:pPr>
      <w:r>
        <w:t>Portfolio Manager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9360" w:val="right"/>
        </w:tabs>
      </w:pPr>
      <w:r>
        <w:t>Hudson Student Investment Fund</w:t>
      </w:r>
      <w:r>
        <w:tab/>
      </w:r>
      <w:r>
        <w:rPr>
          <w:i/>
        </w:rPr>
        <w:t>Sep 2024 – Present</w:t>
      </w:r>
    </w:p>
    <w:p>
      <w:pPr>
        <w:pStyle w:val="ResumeBullet"/>
      </w:pPr>
      <w:r>
        <w:t>Manage a $1.4M student-run portfolio; outperformed benchmark by 3.1% in 2025.</w:t>
      </w:r>
    </w:p>
    <w:p>
      <w:pPr>
        <w:pStyle w:val="SectionHeading"/>
      </w:pPr>
      <w:r>
        <w:t>Leadership &amp; Activities</w:t>
      </w:r>
    </w:p>
    <w:p>
      <w:pPr>
        <w:pStyle w:val="EntryTitle"/>
        <w:tabs>
          <w:tab w:pos="9360" w:val="right"/>
        </w:tabs>
      </w:pPr>
      <w:r>
        <w:t>President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9360" w:val="right"/>
        </w:tabs>
      </w:pPr>
      <w:r>
        <w:t>Hudson Finance Society</w:t>
      </w:r>
      <w:r>
        <w:tab/>
      </w:r>
      <w:r>
        <w:rPr>
          <w:i/>
        </w:rPr>
        <w:t>Sep 2025 – Present</w:t>
      </w:r>
    </w:p>
    <w:p>
      <w:pPr>
        <w:pStyle w:val="ResumeBullet"/>
      </w:pPr>
      <w:r>
        <w:t>Grew membership from 200 to 520; launched a mentorship program with 60 alumni.</w:t>
      </w:r>
    </w:p>
    <w:p>
      <w:pPr>
        <w:pStyle w:val="SectionHeading"/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Python, SQL, Excel/VBA, Bloomberg, FactSet, Tableau</w:t>
      </w:r>
    </w:p>
    <w:p>
      <w:pPr>
        <w:pStyle w:val="BodyText"/>
      </w:pPr>
      <w:r>
        <w:rPr>
          <w:b/>
          <w:bCs/>
        </w:rPr>
        <w:t xml:space="preserve">Certifications: </w:t>
      </w:r>
      <w:r>
        <w:t>CFA Level I Candidate (2027)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Punjabi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Cricket, chess, behavioural finance books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EB Garamond" w:hAnsi="EB Garamond" w:eastAsia="EB Garamond" w:cs="EB Garamond"/>
      <w:color w:val="000000"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4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08" w:after="60"/>
    </w:pPr>
    <w:rPr>
      <w:rFonts w:ascii="EB Garamond" w:hAnsi="EB Garamond" w:eastAsia="EB Garamond" w:cs="EB Garamond"/>
      <w:b/>
      <w:bCs/>
      <w:i w:val="0"/>
      <w:caps/>
      <w:smallCaps w:val="0"/>
      <w:color w:val="000000"/>
      <w:spacing w:val="50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  <w:style w:type="paragraph" w:customStyle="1" w:styleId="EntryTitle">
    <w:name w:val="Entry Title"/>
    <w:basedOn w:val="Normal"/>
    <w:qFormat/>
    <w:pPr>
      <w:keepNext/>
      <w:widowControl/>
      <w:spacing w:before="156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5"/>
      <w:szCs w:val="25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5"/>
      <w:szCs w:val="25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5"/>
      <w:szCs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Granite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