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Rohan Malhotra</w:t>
      </w:r>
    </w:p>
    <w:p>
      <w:pPr>
        <w:pStyle w:val="Contact"/>
      </w:pPr>
      <w:r>
        <w:t>Philadelphia, PA</w:t>
      </w:r>
      <w:r>
        <w:t xml:space="preserve">  •  </w:t>
      </w:r>
      <w:r>
        <w:t>(215) 555-0109</w:t>
      </w:r>
      <w:r>
        <w:t xml:space="preserve">  •  </w:t>
      </w:r>
      <w:r>
        <w:t>rohan.malhotra@mba.edu</w:t>
      </w:r>
      <w:r>
        <w:t xml:space="preserve">  •  </w:t>
      </w:r>
      <w:r>
        <w:t>linkedin.com/in/rohanmalhotra</w:t>
      </w:r>
    </w:p>
    <w:p>
      <w:pPr>
        <w:pStyle w:val="SectionHeading"/>
        <w:pBdr>
          <w:top w:val="single" w:sz="6" w:space="4" w:color="000000"/>
        </w:pBdr>
      </w:pPr>
      <w:r>
        <w:t>Education</w:t>
      </w:r>
    </w:p>
    <w:p>
      <w:pPr>
        <w:pStyle w:val="EntryTitle"/>
        <w:tabs>
          <w:tab w:pos="10086" w:val="right"/>
        </w:tabs>
      </w:pPr>
      <w:r>
        <w:t>Bramwell School of Business</w:t>
      </w:r>
      <w:r>
        <w:rPr>
          <w:b w:val="0"/>
        </w:rPr>
        <w:t>, Philadelphia, PA</w:t>
      </w:r>
      <w:r>
        <w:tab/>
      </w:r>
      <w:r>
        <w:rPr>
          <w:b w:val="0"/>
        </w:rPr>
        <w:t>May 2027</w:t>
      </w:r>
    </w:p>
    <w:p>
      <w:pPr>
        <w:pStyle w:val="EntryMeta"/>
      </w:pPr>
      <w:r>
        <w:t>Master of Business Administration</w:t>
      </w:r>
    </w:p>
    <w:p>
      <w:pPr>
        <w:pStyle w:val="BodyText"/>
      </w:pPr>
      <w:r>
        <w:rPr>
          <w:b w:val="0"/>
          <w:i/>
        </w:rPr>
        <w:t>Major:</w:t>
      </w:r>
      <w:r>
        <w:t xml:space="preserve"> Strategic Management; Bramwell Fellow (merit scholarship)</w:t>
      </w:r>
    </w:p>
    <w:p>
      <w:pPr>
        <w:pStyle w:val="BodyText"/>
      </w:pPr>
      <w:r>
        <w:rPr>
          <w:b w:val="0"/>
          <w:i/>
        </w:rPr>
        <w:t>Activities:</w:t>
      </w:r>
      <w:r>
        <w:t xml:space="preserve"> Consulting Club (VP Recruiting), India Club, Venture Fellows</w:t>
      </w:r>
    </w:p>
    <w:p>
      <w:pPr>
        <w:pStyle w:val="EntryTitle"/>
        <w:tabs>
          <w:tab w:pos="10086" w:val="right"/>
        </w:tabs>
      </w:pPr>
      <w:r>
        <w:t>Westbridge Institute of Technology</w:t>
      </w:r>
      <w:r>
        <w:rPr>
          <w:b w:val="0"/>
        </w:rPr>
        <w:t>, Mumbai, India</w:t>
      </w:r>
      <w:r>
        <w:tab/>
      </w:r>
      <w:r>
        <w:rPr>
          <w:b w:val="0"/>
        </w:rPr>
        <w:t>May 2018</w:t>
      </w:r>
    </w:p>
    <w:p>
      <w:pPr>
        <w:pStyle w:val="EntryMeta"/>
      </w:pPr>
      <w:r>
        <w:t>B.Tech. in Mechanical Engineering</w:t>
      </w:r>
    </w:p>
    <w:p>
      <w:pPr>
        <w:pStyle w:val="BodyText"/>
      </w:pPr>
      <w:r>
        <w:rPr>
          <w:b w:val="0"/>
          <w:i/>
        </w:rPr>
        <w:t>CGPA:</w:t>
      </w:r>
      <w:r>
        <w:t xml:space="preserve"> 8.9/10 (top 5% of class)</w:t>
      </w:r>
    </w:p>
    <w:p>
      <w:pPr>
        <w:pStyle w:val="SectionHeading"/>
        <w:pBdr>
          <w:top w:val="single" w:sz="6" w:space="4" w:color="000000"/>
        </w:pBdr>
      </w:pPr>
      <w:r>
        <w:t>Experience</w:t>
      </w:r>
    </w:p>
    <w:p>
      <w:pPr>
        <w:pStyle w:val="EntryTitle"/>
        <w:tabs>
          <w:tab w:pos="10086" w:val="right"/>
        </w:tabs>
      </w:pPr>
      <w:r>
        <w:t>Summer Associate</w:t>
      </w:r>
      <w:r>
        <w:rPr>
          <w:b w:val="0"/>
        </w:rPr>
        <w:t>, Chicago, IL</w:t>
      </w:r>
      <w:r>
        <w:rPr>
          <w:b w:val="0"/>
        </w:rPr>
        <w:t xml:space="preserve">  —  </w:t>
      </w:r>
      <w:r>
        <w:rPr>
          <w:b w:val="0"/>
          <w:i/>
        </w:rPr>
        <w:t>Vantage Point Consulting</w:t>
      </w:r>
      <w:r>
        <w:tab/>
      </w:r>
      <w:r>
        <w:rPr>
          <w:b w:val="0"/>
        </w:rPr>
        <w:t>Jun 2026 – Aug 2026</w:t>
      </w:r>
    </w:p>
    <w:p>
      <w:pPr>
        <w:pStyle w:val="ResumeBullet"/>
      </w:pPr>
      <w:r>
        <w:t>Built a cost-to-serve model for a Fortune 500 distributor; identified $38M in annual savings.</w:t>
      </w:r>
    </w:p>
    <w:p>
      <w:pPr>
        <w:pStyle w:val="ResumeBullet"/>
      </w:pPr>
      <w:r>
        <w:t>Led workshops with 12 client executives; recommendations adopted in the FY27 plan.</w:t>
      </w:r>
    </w:p>
    <w:p>
      <w:pPr>
        <w:pStyle w:val="EntryTitle"/>
        <w:tabs>
          <w:tab w:pos="10086" w:val="right"/>
        </w:tabs>
      </w:pPr>
      <w:r>
        <w:t>Product Manager</w:t>
      </w:r>
      <w:r>
        <w:rPr>
          <w:b w:val="0"/>
        </w:rPr>
        <w:t>, Mumbai, India</w:t>
      </w:r>
      <w:r>
        <w:rPr>
          <w:b w:val="0"/>
        </w:rPr>
        <w:t xml:space="preserve">  —  </w:t>
      </w:r>
      <w:r>
        <w:rPr>
          <w:b w:val="0"/>
          <w:i/>
        </w:rPr>
        <w:t>Tidewater Logistics</w:t>
      </w:r>
      <w:r>
        <w:tab/>
      </w:r>
      <w:r>
        <w:rPr>
          <w:b w:val="0"/>
        </w:rPr>
        <w:t>Jul 2021 – Jul 2025</w:t>
      </w:r>
    </w:p>
    <w:p>
      <w:pPr>
        <w:pStyle w:val="ResumeBullet"/>
      </w:pPr>
      <w:r>
        <w:t>Owned a fleet-routing product used by 4,000 trucks; grew revenue from $2M to $9M in three years.</w:t>
      </w:r>
    </w:p>
    <w:p>
      <w:pPr>
        <w:pStyle w:val="ResumeBullet"/>
      </w:pPr>
      <w:r>
        <w:t>Hired and led a team of 9 engineers and analysts across two cities.</w:t>
      </w:r>
    </w:p>
    <w:p>
      <w:pPr>
        <w:pStyle w:val="ResumeBullet"/>
      </w:pPr>
      <w:r>
        <w:t>Launched dynamic pricing, raising contribution margin by 6 points.</w:t>
      </w:r>
    </w:p>
    <w:p>
      <w:pPr>
        <w:pStyle w:val="EntryTitle"/>
        <w:tabs>
          <w:tab w:pos="10086" w:val="right"/>
        </w:tabs>
      </w:pPr>
      <w:r>
        <w:t>Associate Engineer</w:t>
      </w:r>
      <w:r>
        <w:rPr>
          <w:b w:val="0"/>
        </w:rPr>
        <w:t>, Pune, India</w:t>
      </w:r>
      <w:r>
        <w:rPr>
          <w:b w:val="0"/>
        </w:rPr>
        <w:t xml:space="preserve">  —  </w:t>
      </w:r>
      <w:r>
        <w:rPr>
          <w:b w:val="0"/>
          <w:i/>
        </w:rPr>
        <w:t>Kestrel Mobility</w:t>
      </w:r>
      <w:r>
        <w:tab/>
      </w:r>
      <w:r>
        <w:rPr>
          <w:b w:val="0"/>
        </w:rPr>
        <w:t>Jul 2018 – Jun 2021</w:t>
      </w:r>
    </w:p>
    <w:p>
      <w:pPr>
        <w:pStyle w:val="ResumeBullet"/>
      </w:pPr>
      <w:r>
        <w:t>Redesigned a brake assembly that cut unit cost by 12% across 1.5M vehicles a year.</w:t>
      </w:r>
    </w:p>
    <w:p>
      <w:pPr>
        <w:pStyle w:val="SectionHeading"/>
        <w:pBdr>
          <w:top w:val="single" w:sz="6" w:space="4" w:color="000000"/>
        </w:pBdr>
      </w:pPr>
      <w:r>
        <w:t>Leadership &amp; Activities</w:t>
      </w:r>
    </w:p>
    <w:p>
      <w:pPr>
        <w:pStyle w:val="EntryTitle"/>
        <w:tabs>
          <w:tab w:pos="10086" w:val="right"/>
        </w:tabs>
      </w:pPr>
      <w:r>
        <w:t>VP Recruiting</w:t>
      </w:r>
      <w:r>
        <w:rPr>
          <w:b w:val="0"/>
        </w:rPr>
        <w:t>, Philadelphia, PA</w:t>
      </w:r>
      <w:r>
        <w:rPr>
          <w:b w:val="0"/>
        </w:rPr>
        <w:t xml:space="preserve">  —  </w:t>
      </w:r>
      <w:r>
        <w:rPr>
          <w:b w:val="0"/>
          <w:i/>
        </w:rPr>
        <w:t>Bramwell Consulting Club</w:t>
      </w:r>
      <w:r>
        <w:tab/>
      </w:r>
      <w:r>
        <w:rPr>
          <w:b w:val="0"/>
        </w:rPr>
        <w:t>Sep 2025 – Present</w:t>
      </w:r>
    </w:p>
    <w:p>
      <w:pPr>
        <w:pStyle w:val="ResumeBullet"/>
      </w:pPr>
      <w:r>
        <w:t>Run case-interview preparation for 300 first-year students; organized 40 firm events.</w:t>
      </w:r>
    </w:p>
    <w:p>
      <w:pPr>
        <w:pStyle w:val="SectionHeading"/>
        <w:pBdr>
          <w:top w:val="single" w:sz="6" w:space="4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Skills: </w:t>
      </w:r>
      <w:r>
        <w:t>Financial modelling, SQL, Tableau, product strategy, pricing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Hindi (native), Marathi (fluent)</w:t>
      </w:r>
    </w:p>
    <w:p>
      <w:pPr>
        <w:pStyle w:val="BodyText"/>
      </w:pPr>
      <w:r>
        <w:rPr>
          <w:b/>
          <w:bCs/>
        </w:rPr>
        <w:t xml:space="preserve">Interests: </w:t>
      </w:r>
      <w:r>
        <w:t>Squash, Hindustani classical music, travel to 30 countries</w:t>
      </w:r>
    </w:p>
    <w:sectPr w:rsidR="00FC693F" w:rsidRPr="0006063C" w:rsidSect="00034616">
      <w:pgSz w:w="12240" w:h="15840"/>
      <w:pgMar w:top="1077" w:right="1077" w:bottom="1077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erriweather" w:hAnsi="Merriweather" w:eastAsia="Merriweather" w:cs="Merriweather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4" w:lineRule="auto"/>
    </w:pPr>
    <w:rPr>
      <w:rFonts w:ascii="Merriweather" w:hAnsi="Merriweather" w:eastAsia="Merriweather" w:cs="Merriweather"/>
      <w:color w:val="000000"/>
      <w:sz w:val="22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4" w:lineRule="auto"/>
    </w:pPr>
    <w:rPr>
      <w:rFonts w:ascii="Merriweather" w:hAnsi="Merriweather" w:eastAsia="Merriweather" w:cs="Merriweather"/>
      <w:b w:val="0"/>
      <w:i w:val="0"/>
      <w:caps w:val="0"/>
      <w:smallCaps w:val="0"/>
      <w:color w:val="000000"/>
      <w:sz w:val="22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Merriweather" w:hAnsi="Merriweather" w:eastAsia="Merriweather" w:cs="Merriweather"/>
      <w:b w:val="0"/>
      <w:i w:val="0"/>
      <w:caps/>
      <w:smallCaps w:val="0"/>
      <w:color w:val="000000"/>
      <w:spacing w:val="60"/>
      <w:sz w:val="44"/>
      <w:szCs w:val="4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Merriweather" w:hAnsi="Merriweather" w:eastAsia="Merriweather" w:cs="Merriweather"/>
      <w:b w:val="0"/>
      <w:i w:val="0"/>
      <w:caps w:val="0"/>
      <w:smallCaps w:val="0"/>
      <w:color w:val="000000"/>
      <w:sz w:val="21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232" w:after="60"/>
    </w:pPr>
    <w:rPr>
      <w:rFonts w:ascii="Merriweather" w:hAnsi="Merriweather" w:eastAsia="Merriweather" w:cs="Merriweather"/>
      <w:b/>
      <w:bCs/>
      <w:i w:val="0"/>
      <w:caps/>
      <w:smallCaps w:val="0"/>
      <w:color w:val="000000"/>
      <w:spacing w:val="40"/>
      <w:sz w:val="23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4" w:lineRule="auto"/>
    </w:pPr>
    <w:rPr>
      <w:rFonts w:ascii="Merriweather" w:hAnsi="Merriweather" w:eastAsia="Merriweather" w:cs="Merriweather"/>
      <w:b w:val="0"/>
      <w:i w:val="0"/>
      <w:caps w:val="0"/>
      <w:smallCaps w:val="0"/>
      <w:color w:val="000000"/>
      <w:sz w:val="22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45" w:after="0"/>
    </w:pPr>
    <w:rPr>
      <w:rFonts w:ascii="Merriweather" w:hAnsi="Merriweather" w:eastAsia="Merriweather" w:cs="Merriweather"/>
      <w:b/>
      <w:bCs/>
      <w:i w:val="0"/>
      <w:caps w:val="0"/>
      <w:smallCaps w:val="0"/>
      <w:color w:val="000000"/>
      <w:sz w:val="22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Merriweather" w:hAnsi="Merriweather" w:eastAsia="Merriweather" w:cs="Merriweather"/>
      <w:b w:val="0"/>
      <w:i/>
      <w:caps w:val="0"/>
      <w:smallCaps w:val="0"/>
      <w:color w:val="000000"/>
      <w:sz w:val="22"/>
      <w:szCs w:val="23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94" w:lineRule="auto"/>
      <w:ind w:left="312" w:hanging="227"/>
    </w:pPr>
    <w:rPr>
      <w:rFonts w:ascii="Merriweather" w:hAnsi="Merriweather" w:eastAsia="Merriweather" w:cs="Merriweather"/>
      <w:b w:val="0"/>
      <w:i w:val="0"/>
      <w:caps w:val="0"/>
      <w:smallCaps w:val="0"/>
      <w:color w:val="000000"/>
      <w:sz w:val="22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Classic Line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