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Name"/>
      </w:pPr>
      <w:r>
        <w:t>Kabir Sethi</w:t>
      </w:r>
    </w:p>
    <w:p>
      <w:pPr>
        <w:pStyle w:val="Contact"/>
        <w:pBdr>
          <w:bottom w:val="single" w:sz="6" w:space="4" w:color="000000"/>
        </w:pBdr>
      </w:pPr>
      <w:r>
        <w:t>New York, NY</w:t>
      </w:r>
      <w:r>
        <w:t xml:space="preserve"> — </w:t>
      </w:r>
      <w:r>
        <w:t>(212) 555-0136</w:t>
      </w:r>
      <w:r>
        <w:t xml:space="preserve"> — </w:t>
      </w:r>
      <w:r>
        <w:t>kabir.sethi@college.edu</w:t>
      </w:r>
      <w:r>
        <w:t xml:space="preserve"> — </w:t>
      </w:r>
      <w:r>
        <w:t>linkedin.com/in/kabirsethi</w:t>
      </w:r>
    </w:p>
    <w:p>
      <w:pPr>
        <w:pStyle w:val="SectionHeading"/>
        <w:pBdr>
          <w:bottom w:val="single" w:sz="4" w:space="1" w:color="000000"/>
        </w:pBdr>
      </w:pPr>
      <w:r>
        <w:t>Education</w:t>
      </w:r>
    </w:p>
    <w:p>
      <w:pPr>
        <w:pStyle w:val="EntryTitle"/>
        <w:tabs>
          <w:tab w:pos="1701" w:val="left"/>
        </w:tabs>
        <w:ind w:left="1701" w:right="0" w:hanging="1701"/>
      </w:pPr>
      <w:r>
        <w:rPr>
          <w:b w:val="0"/>
          <w:sz w:val="22"/>
          <w:szCs w:val="23"/>
        </w:rPr>
        <w:t>May 2027</w:t>
      </w:r>
      <w:r>
        <w:tab/>
      </w:r>
      <w:r>
        <w:t>Hudson University, School of Business</w:t>
      </w:r>
      <w:r>
        <w:rPr>
          <w:b w:val="0"/>
        </w:rPr>
        <w:t>, New York, NY</w:t>
      </w:r>
    </w:p>
    <w:p>
      <w:pPr>
        <w:pStyle w:val="EntryMeta"/>
        <w:ind w:left="1701" w:right="0"/>
      </w:pPr>
      <w:r>
        <w:t>B.S. in Finance and Data Science</w:t>
      </w:r>
    </w:p>
    <w:p>
      <w:pPr>
        <w:pStyle w:val="BodyText"/>
        <w:ind w:left="1701" w:right="0"/>
      </w:pPr>
      <w:r>
        <w:t>GPA: 3.84/4.00; Presidential Scholar</w:t>
      </w:r>
    </w:p>
    <w:p>
      <w:pPr>
        <w:pStyle w:val="BodyText"/>
        <w:ind w:left="1701" w:right="0"/>
      </w:pPr>
      <w:r>
        <w:t>Relevant Coursework: Corporate Finance, Derivatives, Fixed Income, Machine Learning</w:t>
      </w:r>
    </w:p>
    <w:p>
      <w:pPr>
        <w:pStyle w:val="SectionHeading"/>
        <w:pBdr>
          <w:bottom w:val="single" w:sz="4" w:space="1" w:color="000000"/>
        </w:pBdr>
      </w:pPr>
      <w:r>
        <w:t>Experience</w:t>
      </w:r>
    </w:p>
    <w:p>
      <w:pPr>
        <w:pStyle w:val="EntryTitle"/>
        <w:tabs>
          <w:tab w:pos="1701" w:val="left"/>
        </w:tabs>
        <w:ind w:left="1701" w:right="0" w:hanging="1701"/>
      </w:pPr>
      <w:r>
        <w:rPr>
          <w:b w:val="0"/>
          <w:sz w:val="22"/>
          <w:szCs w:val="23"/>
        </w:rPr>
        <w:t>Jun 2026 – Aug 2026</w:t>
      </w:r>
      <w:r>
        <w:tab/>
      </w:r>
      <w:r>
        <w:t>Summer Analyst, Sales &amp; Trading</w:t>
      </w:r>
      <w:r>
        <w:rPr>
          <w:b w:val="0"/>
        </w:rPr>
        <w:t>, New York, NY</w:t>
      </w:r>
    </w:p>
    <w:p>
      <w:pPr>
        <w:pStyle w:val="EntryMeta"/>
        <w:ind w:left="1701" w:right="0"/>
      </w:pPr>
      <w:r>
        <w:t>Copperline Capital</w:t>
      </w:r>
    </w:p>
    <w:p>
      <w:pPr>
        <w:pStyle w:val="ResumeBullet"/>
        <w:ind w:left="2013" w:hanging="227"/>
      </w:pPr>
      <w:r>
        <w:t>Rotated across rates, credit and equity derivatives desks; built a Python tool for daily P&amp;L attribution.</w:t>
      </w:r>
    </w:p>
    <w:p>
      <w:pPr>
        <w:pStyle w:val="ResumeBullet"/>
        <w:ind w:left="2013" w:hanging="227"/>
      </w:pPr>
      <w:r>
        <w:t>Pitched a relative-value trade idea to the desk head; selected among top 5 of 40 interns.</w:t>
      </w:r>
    </w:p>
    <w:p>
      <w:pPr>
        <w:pStyle w:val="EntryTitle"/>
        <w:tabs>
          <w:tab w:pos="1701" w:val="left"/>
        </w:tabs>
        <w:ind w:left="1701" w:right="0" w:hanging="1701"/>
      </w:pPr>
      <w:r>
        <w:rPr>
          <w:b w:val="0"/>
          <w:sz w:val="22"/>
          <w:szCs w:val="23"/>
        </w:rPr>
        <w:t>Jun 2025 – Aug 2025</w:t>
      </w:r>
      <w:r>
        <w:tab/>
      </w:r>
      <w:r>
        <w:t>Equity Research Intern</w:t>
      </w:r>
      <w:r>
        <w:rPr>
          <w:b w:val="0"/>
        </w:rPr>
        <w:t>, Mumbai, India</w:t>
      </w:r>
    </w:p>
    <w:p>
      <w:pPr>
        <w:pStyle w:val="EntryMeta"/>
        <w:ind w:left="1701" w:right="0"/>
      </w:pPr>
      <w:r>
        <w:t>Indus Ledger Partners</w:t>
      </w:r>
    </w:p>
    <w:p>
      <w:pPr>
        <w:pStyle w:val="ResumeBullet"/>
        <w:ind w:left="2013" w:hanging="227"/>
      </w:pPr>
      <w:r>
        <w:t>Initiated coverage models for two mid-cap banks; contributed to a 30-page sector report.</w:t>
      </w:r>
    </w:p>
    <w:p>
      <w:pPr>
        <w:pStyle w:val="EntryTitle"/>
        <w:tabs>
          <w:tab w:pos="1701" w:val="left"/>
        </w:tabs>
        <w:ind w:left="1701" w:right="0" w:hanging="1701"/>
      </w:pPr>
      <w:r>
        <w:rPr>
          <w:b w:val="0"/>
          <w:sz w:val="22"/>
          <w:szCs w:val="23"/>
        </w:rPr>
        <w:t>Sep 2024 – Present</w:t>
      </w:r>
      <w:r>
        <w:tab/>
      </w:r>
      <w:r>
        <w:t>Portfolio Manager</w:t>
      </w:r>
      <w:r>
        <w:rPr>
          <w:b w:val="0"/>
        </w:rPr>
        <w:t>, New York, NY</w:t>
      </w:r>
    </w:p>
    <w:p>
      <w:pPr>
        <w:pStyle w:val="EntryMeta"/>
        <w:ind w:left="1701" w:right="0"/>
      </w:pPr>
      <w:r>
        <w:t>Hudson Student Investment Fund</w:t>
      </w:r>
    </w:p>
    <w:p>
      <w:pPr>
        <w:pStyle w:val="ResumeBullet"/>
        <w:ind w:left="2013" w:hanging="227"/>
      </w:pPr>
      <w:r>
        <w:t>Manage a $1.4M student-run portfolio; outperformed benchmark by 3.1% in 2025.</w:t>
      </w:r>
    </w:p>
    <w:p>
      <w:pPr>
        <w:pStyle w:val="SectionHeading"/>
        <w:pBdr>
          <w:bottom w:val="single" w:sz="4" w:space="1" w:color="000000"/>
        </w:pBdr>
      </w:pPr>
      <w:r>
        <w:t>Leadership &amp; Activities</w:t>
      </w:r>
    </w:p>
    <w:p>
      <w:pPr>
        <w:pStyle w:val="EntryTitle"/>
        <w:tabs>
          <w:tab w:pos="1701" w:val="left"/>
        </w:tabs>
        <w:ind w:left="1701" w:right="0" w:hanging="1701"/>
      </w:pPr>
      <w:r>
        <w:rPr>
          <w:b w:val="0"/>
          <w:sz w:val="22"/>
          <w:szCs w:val="23"/>
        </w:rPr>
        <w:t>Sep 2025 – Present</w:t>
      </w:r>
      <w:r>
        <w:tab/>
      </w:r>
      <w:r>
        <w:t>President</w:t>
      </w:r>
      <w:r>
        <w:rPr>
          <w:b w:val="0"/>
        </w:rPr>
        <w:t>, New York, NY</w:t>
      </w:r>
    </w:p>
    <w:p>
      <w:pPr>
        <w:pStyle w:val="EntryMeta"/>
        <w:ind w:left="1701" w:right="0"/>
      </w:pPr>
      <w:r>
        <w:t>Hudson Finance Society</w:t>
      </w:r>
    </w:p>
    <w:p>
      <w:pPr>
        <w:pStyle w:val="ResumeBullet"/>
        <w:ind w:left="2013" w:hanging="227"/>
      </w:pPr>
      <w:r>
        <w:t>Grew membership from 200 to 520; launched a mentorship program with 60 alumni.</w:t>
      </w:r>
    </w:p>
    <w:p>
      <w:pPr>
        <w:pStyle w:val="SectionHeading"/>
        <w:pBdr>
          <w:bottom w:val="single" w:sz="4" w:space="1" w:color="000000"/>
        </w:pBdr>
      </w:pPr>
      <w:r>
        <w:t>Skills &amp; Interests</w:t>
      </w:r>
    </w:p>
    <w:p>
      <w:pPr>
        <w:pStyle w:val="BodyText"/>
        <w:ind w:left="1701" w:right="0"/>
      </w:pPr>
      <w:r>
        <w:rPr>
          <w:b/>
          <w:bCs/>
        </w:rPr>
        <w:t xml:space="preserve">Technical: </w:t>
      </w:r>
      <w:r>
        <w:t>Python, SQL, Excel/VBA, Bloomberg, FactSet, Tableau</w:t>
      </w:r>
    </w:p>
    <w:p>
      <w:pPr>
        <w:pStyle w:val="BodyText"/>
        <w:ind w:left="1701" w:right="0"/>
      </w:pPr>
      <w:r>
        <w:rPr>
          <w:b/>
          <w:bCs/>
        </w:rPr>
        <w:t xml:space="preserve">Certifications: </w:t>
      </w:r>
      <w:r>
        <w:t>CFA Level I Candidate (2027)</w:t>
      </w:r>
    </w:p>
    <w:p>
      <w:pPr>
        <w:pStyle w:val="BodyText"/>
        <w:ind w:left="1701" w:right="0"/>
      </w:pPr>
      <w:r>
        <w:rPr>
          <w:b/>
          <w:bCs/>
        </w:rPr>
        <w:t xml:space="preserve">Languages: </w:t>
      </w:r>
      <w:r>
        <w:t>English, Hindi, Punjabi</w:t>
      </w:r>
    </w:p>
    <w:p>
      <w:pPr>
        <w:pStyle w:val="BodyText"/>
        <w:ind w:left="1701" w:right="0"/>
      </w:pPr>
      <w:r>
        <w:rPr>
          <w:b/>
          <w:bCs/>
        </w:rPr>
        <w:t xml:space="preserve">Interests: </w:t>
      </w:r>
      <w:r>
        <w:t>Cricket, chess, behavioural finance books</w:t>
      </w:r>
    </w:p>
    <w:sectPr w:rsidR="00FC693F" w:rsidRPr="0006063C" w:rsidSect="00034616">
      <w:pgSz w:w="12240" w:h="15840"/>
      <w:pgMar w:top="1440" w:right="1440" w:bottom="1440" w:left="1440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0">
    <w:multiLevelType w:val="singleLevel"/>
    <w:lvl w:ilvl="0">
      <w:start w:val="1"/>
      <w:numFmt w:val="bullet"/>
      <w:pStyle w:val="ResumeBullet"/>
      <w:lvlText w:val="•"/>
      <w:lvlJc w:val="left"/>
      <w:pPr>
        <w:ind w:left="312" w:hanging="227"/>
      </w:pPr>
      <w:rPr>
        <w:rFonts w:ascii="Arial" w:hAnsi="Arial" w:cs="Arial" w:hint="default"/>
        <w:color w:val="000000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">
    <w:abstractNumId w:val="10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hAnsi="Calibri" w:eastAsia="Calibri" w:cs="Calibri"/>
        <w:sz w:val="22"/>
        <w:szCs w:val="22"/>
        <w:lang w:val="en-US" w:eastAsia="en-US" w:bidi="ar-SA"/>
      </w:rPr>
    </w:rPrDefault>
    <w:pPrDefault>
      <w:pPr>
        <w:spacing w:after="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71" w:lineRule="auto"/>
    </w:pPr>
    <w:rPr>
      <w:rFonts w:ascii="Calibri" w:hAnsi="Calibri" w:eastAsia="Calibri" w:cs="Calibri"/>
      <w:color w:val="000000"/>
      <w:sz w:val="23"/>
      <w:szCs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qFormat/>
    <w:rsid w:val="00AA1D8D"/>
    <w:pPr>
      <w:keepNext w:val="0"/>
      <w:widowControl/>
      <w:spacing w:after="20" w:before="0" w:line="271" w:lineRule="auto"/>
    </w:pPr>
    <w:rPr>
      <w:rFonts w:ascii="Calibri" w:hAnsi="Calibri" w:eastAsia="Calibri" w:cs="Calibri"/>
      <w:b w:val="0"/>
      <w:i w:val="0"/>
      <w:caps w:val="0"/>
      <w:smallCaps w:val="0"/>
      <w:color w:val="000000"/>
      <w:sz w:val="23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ame">
    <w:name w:val="Name"/>
    <w:basedOn w:val="Normal"/>
    <w:qFormat/>
    <w:pPr>
      <w:keepNext w:val="0"/>
      <w:widowControl/>
      <w:spacing w:before="0" w:after="20" w:line="240" w:lineRule="auto"/>
      <w:jc w:val="center"/>
    </w:pPr>
    <w:rPr>
      <w:rFonts w:ascii="Cambria" w:hAnsi="Cambria" w:eastAsia="Cambria" w:cs="Cambria"/>
      <w:b/>
      <w:bCs/>
      <w:i w:val="0"/>
      <w:caps w:val="0"/>
      <w:smallCaps/>
      <w:color w:val="000000"/>
      <w:spacing w:val="30"/>
      <w:sz w:val="48"/>
      <w:szCs w:val="48"/>
    </w:rPr>
  </w:style>
  <w:style w:type="paragraph" w:customStyle="1" w:styleId="Contact">
    <w:name w:val="Contact"/>
    <w:basedOn w:val="Normal"/>
    <w:qFormat/>
    <w:pPr>
      <w:keepNext w:val="0"/>
      <w:widowControl/>
      <w:spacing w:before="0" w:after="0"/>
      <w:jc w:val="center"/>
    </w:pPr>
    <w:rPr>
      <w:rFonts w:ascii="Calibri" w:hAnsi="Calibri" w:eastAsia="Calibri" w:cs="Calibri"/>
      <w:b w:val="0"/>
      <w:i w:val="0"/>
      <w:caps w:val="0"/>
      <w:smallCaps w:val="0"/>
      <w:color w:val="000000"/>
      <w:sz w:val="22"/>
      <w:szCs w:val="23"/>
    </w:rPr>
  </w:style>
  <w:style w:type="paragraph" w:customStyle="1" w:styleId="SectionHeading">
    <w:name w:val="Section Heading"/>
    <w:basedOn w:val="Normal"/>
    <w:qFormat/>
    <w:pPr>
      <w:keepNext/>
      <w:widowControl/>
      <w:spacing w:before="184" w:after="60"/>
    </w:pPr>
    <w:rPr>
      <w:rFonts w:ascii="Calibri" w:hAnsi="Calibri" w:eastAsia="Calibri" w:cs="Calibri"/>
      <w:b/>
      <w:bCs/>
      <w:i w:val="0"/>
      <w:caps w:val="0"/>
      <w:smallCaps w:val="0"/>
      <w:color w:val="000000"/>
      <w:sz w:val="24"/>
      <w:szCs w:val="25"/>
    </w:rPr>
  </w:style>
  <w:style w:type="paragraph" w:customStyle="1" w:styleId="Summary">
    <w:name w:val="Summary"/>
    <w:basedOn w:val="Normal"/>
    <w:qFormat/>
    <w:pPr>
      <w:keepNext w:val="0"/>
      <w:widowControl/>
      <w:spacing w:before="0" w:after="0" w:line="271" w:lineRule="auto"/>
    </w:pPr>
    <w:rPr>
      <w:rFonts w:ascii="Calibri" w:hAnsi="Calibri" w:eastAsia="Calibri" w:cs="Calibri"/>
      <w:b w:val="0"/>
      <w:i w:val="0"/>
      <w:caps w:val="0"/>
      <w:smallCaps w:val="0"/>
      <w:color w:val="000000"/>
      <w:sz w:val="23"/>
      <w:szCs w:val="24"/>
    </w:rPr>
  </w:style>
  <w:style w:type="paragraph" w:customStyle="1" w:styleId="EntryTitle">
    <w:name w:val="Entry Title"/>
    <w:basedOn w:val="Normal"/>
    <w:qFormat/>
    <w:pPr>
      <w:keepNext/>
      <w:widowControl/>
      <w:spacing w:before="138" w:after="0"/>
    </w:pPr>
    <w:rPr>
      <w:rFonts w:ascii="Calibri" w:hAnsi="Calibri" w:eastAsia="Calibri" w:cs="Calibri"/>
      <w:b/>
      <w:bCs/>
      <w:i w:val="0"/>
      <w:caps w:val="0"/>
      <w:smallCaps w:val="0"/>
      <w:color w:val="000000"/>
      <w:sz w:val="23"/>
      <w:szCs w:val="24"/>
    </w:rPr>
  </w:style>
  <w:style w:type="paragraph" w:customStyle="1" w:styleId="EntryMeta">
    <w:name w:val="Entry Meta"/>
    <w:basedOn w:val="Normal"/>
    <w:qFormat/>
    <w:pPr>
      <w:keepNext/>
      <w:widowControl/>
      <w:spacing w:before="0" w:after="20"/>
    </w:pPr>
    <w:rPr>
      <w:rFonts w:ascii="Calibri" w:hAnsi="Calibri" w:eastAsia="Calibri" w:cs="Calibri"/>
      <w:b w:val="0"/>
      <w:i/>
      <w:caps w:val="0"/>
      <w:smallCaps w:val="0"/>
      <w:color w:val="000000"/>
      <w:sz w:val="23"/>
      <w:szCs w:val="24"/>
    </w:rPr>
  </w:style>
  <w:style w:type="paragraph" w:customStyle="1" w:styleId="ResumeBullet">
    <w:name w:val="Resume Bullet"/>
    <w:basedOn w:val="Normal"/>
    <w:qFormat/>
    <w:pPr>
      <w:keepNext w:val="0"/>
      <w:widowControl/>
      <w:numPr>
        <w:numId w:val="100"/>
      </w:numPr>
      <w:spacing w:before="0" w:after="12" w:line="271" w:lineRule="auto"/>
      <w:ind w:left="312" w:hanging="227"/>
    </w:pPr>
    <w:rPr>
      <w:rFonts w:ascii="Calibri" w:hAnsi="Calibri" w:eastAsia="Calibri" w:cs="Calibri"/>
      <w:b w:val="0"/>
      <w:i w:val="0"/>
      <w:caps w:val="0"/>
      <w:smallCaps w:val="0"/>
      <w:color w:val="000000"/>
      <w:sz w:val="23"/>
      <w:szCs w:val="2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Ivy Cloister Sheet — Resume template</dc:title>
  <dc:subject/>
  <dc:creator>Morphiq</dc:creator>
  <cp:keywords>resume, CV, template</cp:keywords>
  <dc:description>Editable resume template from Morphiq. Replace the placeholder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